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5jztueeanm5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Korzo - Manufacturing management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2788g11ct3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Curtain Product Configuration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need to create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two separate curtain 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support different BOM (Bill of Materials) types: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Curtain Product (Motorised Wave Curtain) (Kit-type BOM)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Used for sales order line selection.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Curtain Product (Motorised Wave Curtain - Manufacture) (Manufacturing-type BOM)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Used for manufacturing purposes.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25400" l="25400" r="25400" t="254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Always keep checkbox “Is Manufactured” True in manufacture product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Motorised Wave Curtain - Manufacture)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4050" cy="2871788"/>
            <wp:effectExtent b="25400" l="25400" r="25400" t="254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17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need to create BOM for manufacture product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Motorised Wave Curtain - Manufacture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without components.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844800"/>
            <wp:effectExtent b="25400" l="25400" r="25400" t="254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set this product into the main curtain product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(Motorised Wave Curtain) (Kit-type BOM).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4050" cy="3400735"/>
            <wp:effectExtent b="25400" l="25400" r="25400" t="254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073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uhunklr3kb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Sale Order Process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sales 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 user will select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curtain 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(with 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kit-type BOM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components such as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Fabric product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Track product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Motor (if required)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 also be added to the sales order lines.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205413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54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3h9rce2ha7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Manufacturing Order Creation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confirmation of the sales 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manufacturing order (MO)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be automatically created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manufacturing-type BOM curtain product (Motorised Wave Curtain - Manufacture)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114300" distT="114300" distL="114300" distR="114300">
            <wp:extent cx="5734050" cy="2319338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93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 will include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fabric product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FB-1) that was selected in the sales order line as a component.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25400" l="25400" r="25400" t="254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MO will also generate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buttons for tracking production progress.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25400" l="25400" r="25400" t="254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dnz74ojkgb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Kit-type BOM Handling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time a sales order is confirmed: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kit-type BOM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be created dynamically.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Track (TR-2)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Motor (Motor-1)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Fabric (FB-1)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products (as selected in the sales order) will be added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components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this BOM.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delivery 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be created for these components, enabling the shipment of the curtain kit.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25400" l="25400" r="25400" t="254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