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Arial" w:hAnsi="Arial" w:cs="Arial" w:eastAsia="Arial"/>
          <w:b/>
          <w:color w:val="1F3864"/>
          <w:spacing w:val="0"/>
          <w:position w:val="0"/>
          <w:sz w:val="56"/>
          <w:u w:val="single"/>
          <w:shd w:fill="auto" w:val="clear"/>
        </w:rPr>
      </w:pPr>
      <w:r>
        <w:rPr>
          <w:rFonts w:ascii="Arial" w:hAnsi="Arial" w:cs="Arial" w:eastAsia="Arial"/>
          <w:b/>
          <w:color w:val="1F3864"/>
          <w:spacing w:val="0"/>
          <w:position w:val="0"/>
          <w:sz w:val="56"/>
          <w:u w:val="single"/>
          <w:shd w:fill="auto" w:val="clear"/>
        </w:rPr>
        <w:t xml:space="preserve">NORTHSTAR BANK </w:t>
      </w:r>
    </w:p>
    <w:p>
      <w:pPr>
        <w:spacing w:before="26" w:after="0" w:line="240"/>
        <w:ind w:right="0" w:left="0" w:firstLine="0"/>
        <w:jc w:val="center"/>
        <w:rPr>
          <w:rFonts w:ascii="Arial" w:hAnsi="Arial" w:cs="Arial" w:eastAsia="Arial"/>
          <w:b/>
          <w:color w:val="2E74B5"/>
          <w:spacing w:val="0"/>
          <w:position w:val="0"/>
          <w:sz w:val="36"/>
          <w:u w:val="single"/>
          <w:shd w:fill="auto" w:val="clear"/>
        </w:rPr>
      </w:pPr>
      <w:r>
        <w:rPr>
          <w:rFonts w:ascii="Arial" w:hAnsi="Arial" w:cs="Arial" w:eastAsia="Arial"/>
          <w:b/>
          <w:color w:val="2E74B5"/>
          <w:spacing w:val="0"/>
          <w:position w:val="0"/>
          <w:sz w:val="36"/>
          <w:u w:val="single"/>
          <w:shd w:fill="auto" w:val="clear"/>
        </w:rPr>
        <w:t xml:space="preserve">Credit Card Product Guide </w:t>
      </w:r>
    </w:p>
    <w:p>
      <w:pPr>
        <w:spacing w:before="0" w:after="0" w:line="240"/>
        <w:ind w:right="0" w:left="0" w:firstLine="0"/>
        <w:jc w:val="center"/>
        <w:rPr>
          <w:rFonts w:ascii="Arial" w:hAnsi="Arial" w:cs="Arial" w:eastAsia="Arial"/>
          <w:color w:val="7F7F7F"/>
          <w:spacing w:val="0"/>
          <w:position w:val="0"/>
          <w:sz w:val="22"/>
          <w:u w:val="single"/>
          <w:shd w:fill="auto" w:val="clear"/>
        </w:rPr>
      </w:pPr>
      <w:r>
        <w:rPr>
          <w:rFonts w:ascii="Arial" w:hAnsi="Arial" w:cs="Arial" w:eastAsia="Arial"/>
          <w:color w:val="7F7F7F"/>
          <w:spacing w:val="0"/>
          <w:position w:val="0"/>
          <w:sz w:val="22"/>
          <w:u w:val="single"/>
          <w:shd w:fill="auto" w:val="clear"/>
        </w:rPr>
        <w:t xml:space="preserve">Spend Categories · Billing Cycles · Rewards · Statements · Limits </w:t>
      </w:r>
    </w:p>
    <w:p>
      <w:pPr>
        <w:spacing w:before="63" w:after="0" w:line="240"/>
        <w:ind w:right="0" w:left="0" w:firstLine="0"/>
        <w:jc w:val="center"/>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Version 2.1 · Effective April 2026 · For Internal Use &amp; Trainee Reference </w:t>
      </w:r>
    </w:p>
    <w:p>
      <w:pPr>
        <w:spacing w:before="889" w:after="0" w:line="299"/>
        <w:ind w:right="813" w:left="847" w:hanging="5"/>
        <w:jc w:val="both"/>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This document covers all aspects of NorthStar Bank credit card products relevant to spend analysis, billing, rewards, limits, and customer communication. It is intended as the primary knowledge base for the Credit Card Spend Summarizer capstone project (BFSI-CC-003). </w:t>
      </w:r>
    </w:p>
    <w:p>
      <w:pPr>
        <w:spacing w:before="376" w:after="0" w:line="240"/>
        <w:ind w:right="0" w:left="0" w:firstLine="0"/>
        <w:jc w:val="center"/>
        <w:rPr>
          <w:rFonts w:ascii="Arial" w:hAnsi="Arial" w:cs="Arial" w:eastAsia="Arial"/>
          <w:b/>
          <w:color w:val="1F3864"/>
          <w:spacing w:val="0"/>
          <w:position w:val="0"/>
          <w:sz w:val="40"/>
          <w:u w:val="single"/>
          <w:shd w:fill="auto" w:val="clear"/>
        </w:rPr>
      </w:pPr>
      <w:r>
        <w:rPr>
          <w:rFonts w:ascii="Arial" w:hAnsi="Arial" w:cs="Arial" w:eastAsia="Arial"/>
          <w:b/>
          <w:color w:val="1F3864"/>
          <w:spacing w:val="0"/>
          <w:position w:val="0"/>
          <w:sz w:val="40"/>
          <w:u w:val="single"/>
          <w:shd w:fill="auto" w:val="clear"/>
        </w:rPr>
        <w:t xml:space="preserve">SECTION 1: CARD VARIANTS &amp; FEATURES </w:t>
      </w:r>
    </w:p>
    <w:p>
      <w:pPr>
        <w:spacing w:before="376" w:after="0" w:line="240"/>
        <w:ind w:right="0" w:left="0" w:firstLine="0"/>
        <w:jc w:val="center"/>
        <w:rPr>
          <w:rFonts w:ascii="Arial" w:hAnsi="Arial" w:cs="Arial" w:eastAsia="Arial"/>
          <w:b/>
          <w:color w:val="1F3864"/>
          <w:spacing w:val="0"/>
          <w:position w:val="0"/>
          <w:sz w:val="40"/>
          <w:shd w:fill="auto" w:val="clear"/>
        </w:rPr>
      </w:pPr>
      <w:r>
        <w:object w:dxaOrig="10612" w:dyaOrig="5971">
          <v:rect xmlns:o="urn:schemas-microsoft-com:office:office" xmlns:v="urn:schemas-microsoft-com:vml" id="rectole0000000000" style="width:530.600000pt;height:298.5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313" w:after="0" w:line="240"/>
        <w:ind w:right="0" w:left="85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1.1 Card Portfolio Overview </w:t>
      </w:r>
    </w:p>
    <w:p>
      <w:pPr>
        <w:spacing w:before="159" w:after="0" w:line="299"/>
        <w:ind w:right="813" w:left="845" w:firstLine="8"/>
        <w:jc w:val="both"/>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NorthStar Bank offers four credit card variants targeting different customer segments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from everyday spenders to high-net-worth individuals. Each variant has a distinct fee structure, credit limit range, and rewards programme. </w:t>
      </w:r>
    </w:p>
    <w:tbl>
      <w:tblPr/>
      <w:tblGrid>
        <w:gridCol w:w="2381"/>
        <w:gridCol w:w="2381"/>
        <w:gridCol w:w="1700"/>
        <w:gridCol w:w="2154"/>
        <w:gridCol w:w="2437"/>
      </w:tblGrid>
      <w:tr>
        <w:trPr>
          <w:trHeight w:val="440" w:hRule="auto"/>
          <w:jc w:val="left"/>
        </w:trPr>
        <w:tc>
          <w:tcPr>
            <w:tcW w:w="238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Card Variant </w:t>
            </w:r>
          </w:p>
        </w:tc>
        <w:tc>
          <w:tcPr>
            <w:tcW w:w="238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Target Segment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Annual Fee </w:t>
            </w:r>
          </w:p>
        </w:tc>
        <w:tc>
          <w:tcPr>
            <w:tcW w:w="215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Fee Waiver </w:t>
            </w:r>
          </w:p>
        </w:tc>
        <w:tc>
          <w:tcPr>
            <w:tcW w:w="243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Credit Limit Range</w:t>
            </w:r>
          </w:p>
        </w:tc>
      </w:tr>
      <w:tr>
        <w:trPr>
          <w:trHeight w:val="440" w:hRule="auto"/>
          <w:jc w:val="left"/>
        </w:trPr>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NorthStar Classic </w:t>
            </w:r>
          </w:p>
        </w:tc>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First-time / students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499 + GST </w:t>
            </w:r>
          </w:p>
        </w:tc>
        <w:tc>
          <w:tcPr>
            <w:tcW w:w="215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Spend </w:t>
            </w:r>
            <w:r>
              <w:rPr>
                <w:rFonts w:ascii="Cambria Math" w:hAnsi="Cambria Math" w:cs="Cambria Math" w:eastAsia="Cambria Math"/>
                <w:color w:val="000000"/>
                <w:spacing w:val="0"/>
                <w:position w:val="0"/>
                <w:sz w:val="18"/>
                <w:u w:val="single"/>
                <w:shd w:fill="auto" w:val="clear"/>
              </w:rPr>
              <w:t xml:space="preserve">≥</w:t>
            </w:r>
            <w:r>
              <w:rPr>
                <w:rFonts w:ascii="Noto Sans Symbols" w:hAnsi="Noto Sans Symbols" w:cs="Noto Sans Symbols" w:eastAsia="Noto Sans Symbols"/>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50,000/yr </w:t>
            </w:r>
          </w:p>
        </w:tc>
        <w:tc>
          <w:tcPr>
            <w:tcW w:w="243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25,000 </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1,00,000</w:t>
            </w:r>
          </w:p>
        </w:tc>
      </w:tr>
      <w:tr>
        <w:trPr>
          <w:trHeight w:val="440" w:hRule="auto"/>
          <w:jc w:val="left"/>
        </w:trPr>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NorthStar Gold </w:t>
            </w:r>
          </w:p>
        </w:tc>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Salaried professionals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999 + GST </w:t>
            </w:r>
          </w:p>
        </w:tc>
        <w:tc>
          <w:tcPr>
            <w:tcW w:w="215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Spend </w:t>
            </w:r>
            <w:r>
              <w:rPr>
                <w:rFonts w:ascii="Cambria Math" w:hAnsi="Cambria Math" w:cs="Cambria Math" w:eastAsia="Cambria Math"/>
                <w:color w:val="000000"/>
                <w:spacing w:val="0"/>
                <w:position w:val="0"/>
                <w:sz w:val="18"/>
                <w:u w:val="single"/>
                <w:shd w:fill="auto" w:val="clear"/>
              </w:rPr>
              <w:t xml:space="preserve">≥</w:t>
            </w:r>
            <w:r>
              <w:rPr>
                <w:rFonts w:ascii="Noto Sans Symbols" w:hAnsi="Noto Sans Symbols" w:cs="Noto Sans Symbols" w:eastAsia="Noto Sans Symbols"/>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1,00,000/yr </w:t>
            </w:r>
          </w:p>
        </w:tc>
        <w:tc>
          <w:tcPr>
            <w:tcW w:w="243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1,00,000 </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3,00,000</w:t>
            </w:r>
          </w:p>
        </w:tc>
      </w:tr>
      <w:tr>
        <w:trPr>
          <w:trHeight w:val="440" w:hRule="auto"/>
          <w:jc w:val="left"/>
        </w:trPr>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NorthStar Platinum </w:t>
            </w:r>
          </w:p>
        </w:tc>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Senior professionals / HNI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2,499 + GST </w:t>
            </w:r>
          </w:p>
        </w:tc>
        <w:tc>
          <w:tcPr>
            <w:tcW w:w="215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Spend </w:t>
            </w:r>
            <w:r>
              <w:rPr>
                <w:rFonts w:ascii="Cambria Math" w:hAnsi="Cambria Math" w:cs="Cambria Math" w:eastAsia="Cambria Math"/>
                <w:color w:val="000000"/>
                <w:spacing w:val="0"/>
                <w:position w:val="0"/>
                <w:sz w:val="18"/>
                <w:u w:val="single"/>
                <w:shd w:fill="auto" w:val="clear"/>
              </w:rPr>
              <w:t xml:space="preserve">≥</w:t>
            </w:r>
            <w:r>
              <w:rPr>
                <w:rFonts w:ascii="Noto Sans Symbols" w:hAnsi="Noto Sans Symbols" w:cs="Noto Sans Symbols" w:eastAsia="Noto Sans Symbols"/>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3,00,000/yr </w:t>
            </w:r>
          </w:p>
        </w:tc>
        <w:tc>
          <w:tcPr>
            <w:tcW w:w="243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3,00,000 </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10,00,000</w:t>
            </w:r>
          </w:p>
        </w:tc>
      </w:tr>
      <w:tr>
        <w:trPr>
          <w:trHeight w:val="440" w:hRule="auto"/>
          <w:jc w:val="left"/>
        </w:trPr>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NorthStar Signature </w:t>
            </w:r>
          </w:p>
        </w:tc>
        <w:tc>
          <w:tcPr>
            <w:tcW w:w="238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Ultra-HNI / corporates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5,000 + GST </w:t>
            </w:r>
          </w:p>
        </w:tc>
        <w:tc>
          <w:tcPr>
            <w:tcW w:w="215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Spend </w:t>
            </w:r>
            <w:r>
              <w:rPr>
                <w:rFonts w:ascii="Cambria Math" w:hAnsi="Cambria Math" w:cs="Cambria Math" w:eastAsia="Cambria Math"/>
                <w:color w:val="000000"/>
                <w:spacing w:val="0"/>
                <w:position w:val="0"/>
                <w:sz w:val="18"/>
                <w:u w:val="single"/>
                <w:shd w:fill="auto" w:val="clear"/>
              </w:rPr>
              <w:t xml:space="preserve">≥</w:t>
            </w:r>
            <w:r>
              <w:rPr>
                <w:rFonts w:ascii="Noto Sans Symbols" w:hAnsi="Noto Sans Symbols" w:cs="Noto Sans Symbols" w:eastAsia="Noto Sans Symbols"/>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7,00,000/yr </w:t>
            </w:r>
          </w:p>
        </w:tc>
        <w:tc>
          <w:tcPr>
            <w:tcW w:w="243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10,00,000 &amp; above</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0" w:left="85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1.2 Key Features by Variant</w:t>
      </w:r>
    </w:p>
    <w:tbl>
      <w:tblPr>
        <w:tblInd w:w="680" w:type="dxa"/>
      </w:tblPr>
      <w:tblGrid>
        <w:gridCol w:w="3118"/>
        <w:gridCol w:w="1587"/>
        <w:gridCol w:w="1587"/>
        <w:gridCol w:w="1700"/>
        <w:gridCol w:w="1700"/>
      </w:tblGrid>
      <w:tr>
        <w:trPr>
          <w:trHeight w:val="440" w:hRule="auto"/>
          <w:jc w:val="left"/>
        </w:trPr>
        <w:tc>
          <w:tcPr>
            <w:tcW w:w="3118"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Feature </w:t>
            </w:r>
          </w:p>
        </w:tc>
        <w:tc>
          <w:tcPr>
            <w:tcW w:w="158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Classic </w:t>
            </w:r>
          </w:p>
        </w:tc>
        <w:tc>
          <w:tcPr>
            <w:tcW w:w="158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Gold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Platinum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Signature</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58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Complimentary Lounge Access (domestic) None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None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4/year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12/year</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77"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Complimentary Lounge Access (intl)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None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None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2/year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6/year</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Golf Programme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Yes (12 rounds/yr)</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Concierge Service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 (24x7)</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Zero Forex Markup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Fuel Surcharge Waiver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Yes (1-25% off)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 (1-25% off)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 (full waiver)</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EMI Conversion (no-cost)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 (</w:t>
            </w:r>
            <w:r>
              <w:rPr>
                <w:rFonts w:ascii="Cambria Math" w:hAnsi="Cambria Math" w:cs="Cambria Math" w:eastAsia="Cambria Math"/>
                <w:color w:val="000000"/>
                <w:spacing w:val="0"/>
                <w:position w:val="0"/>
                <w:sz w:val="18"/>
                <w:u w:val="single"/>
                <w:shd w:fill="auto" w:val="clear"/>
              </w:rPr>
              <w:t xml:space="preserve">≥</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 (</w:t>
            </w:r>
            <w:r>
              <w:rPr>
                <w:rFonts w:ascii="Cambria Math" w:hAnsi="Cambria Math" w:cs="Cambria Math" w:eastAsia="Cambria Math"/>
                <w:color w:val="000000"/>
                <w:spacing w:val="0"/>
                <w:position w:val="0"/>
                <w:sz w:val="18"/>
                <w:u w:val="single"/>
                <w:shd w:fill="auto" w:val="clear"/>
              </w:rPr>
              <w:t xml:space="preserve">≥</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3,000)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Yes (</w:t>
            </w:r>
            <w:r>
              <w:rPr>
                <w:rFonts w:ascii="Cambria Math" w:hAnsi="Cambria Math" w:cs="Cambria Math" w:eastAsia="Cambria Math"/>
                <w:color w:val="000000"/>
                <w:spacing w:val="0"/>
                <w:position w:val="0"/>
                <w:sz w:val="18"/>
                <w:u w:val="single"/>
                <w:shd w:fill="auto" w:val="clear"/>
              </w:rPr>
              <w:t xml:space="preserve">≥</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2,000)</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Add-on Cards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4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0" w:left="0" w:firstLine="0"/>
        <w:jc w:val="center"/>
        <w:rPr>
          <w:rFonts w:ascii="Arial" w:hAnsi="Arial" w:cs="Arial" w:eastAsia="Arial"/>
          <w:b/>
          <w:color w:val="1F3864"/>
          <w:spacing w:val="0"/>
          <w:position w:val="0"/>
          <w:sz w:val="40"/>
          <w:u w:val="single"/>
          <w:shd w:fill="auto" w:val="clear"/>
        </w:rPr>
      </w:pPr>
      <w:r>
        <w:rPr>
          <w:rFonts w:ascii="Arial" w:hAnsi="Arial" w:cs="Arial" w:eastAsia="Arial"/>
          <w:b/>
          <w:color w:val="1F3864"/>
          <w:spacing w:val="0"/>
          <w:position w:val="0"/>
          <w:sz w:val="40"/>
          <w:u w:val="single"/>
          <w:shd w:fill="auto" w:val="clear"/>
        </w:rPr>
        <w:t xml:space="preserve">SECTION 2: SPEND CATEGORIES &amp; </w:t>
      </w:r>
    </w:p>
    <w:p>
      <w:pPr>
        <w:spacing w:before="0" w:after="0" w:line="240"/>
        <w:ind w:right="0" w:left="0" w:firstLine="0"/>
        <w:jc w:val="center"/>
        <w:rPr>
          <w:rFonts w:ascii="Arial" w:hAnsi="Arial" w:cs="Arial" w:eastAsia="Arial"/>
          <w:b/>
          <w:color w:val="1F3864"/>
          <w:spacing w:val="0"/>
          <w:position w:val="0"/>
          <w:sz w:val="40"/>
          <w:u w:val="single"/>
          <w:shd w:fill="auto" w:val="clear"/>
        </w:rPr>
      </w:pPr>
      <w:r>
        <w:rPr>
          <w:rFonts w:ascii="Arial" w:hAnsi="Arial" w:cs="Arial" w:eastAsia="Arial"/>
          <w:b/>
          <w:color w:val="1F3864"/>
          <w:spacing w:val="0"/>
          <w:position w:val="0"/>
          <w:sz w:val="40"/>
          <w:u w:val="single"/>
          <w:shd w:fill="auto" w:val="clear"/>
        </w:rPr>
        <w:t xml:space="preserve">CLASSIFICATION </w:t>
      </w:r>
    </w:p>
    <w:p>
      <w:pPr>
        <w:spacing w:before="313" w:after="0" w:line="240"/>
        <w:ind w:right="0" w:left="844"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2.1 Standard Spend Categories </w:t>
      </w:r>
    </w:p>
    <w:p>
      <w:pPr>
        <w:spacing w:before="159" w:after="0" w:line="299"/>
        <w:ind w:right="813" w:left="847" w:firstLine="6"/>
        <w:jc w:val="both"/>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NorthStar Bank classifies all credit card transactions into the following categories for spend analysis, rewards calculation, and monthly statement generation. The category is assigned based on the Merchant Category Code (MCC) of the transaction. </w:t>
      </w:r>
    </w:p>
    <w:p>
      <w:pPr>
        <w:spacing w:before="159" w:after="0" w:line="299"/>
        <w:ind w:right="813" w:left="847" w:firstLine="6"/>
        <w:jc w:val="both"/>
        <w:rPr>
          <w:rFonts w:ascii="Arial" w:hAnsi="Arial" w:cs="Arial" w:eastAsia="Arial"/>
          <w:color w:val="auto"/>
          <w:spacing w:val="0"/>
          <w:position w:val="0"/>
          <w:sz w:val="20"/>
          <w:shd w:fill="auto" w:val="clear"/>
        </w:rPr>
      </w:pPr>
    </w:p>
    <w:tbl>
      <w:tblPr>
        <w:tblInd w:w="850" w:type="dxa"/>
      </w:tblPr>
      <w:tblGrid>
        <w:gridCol w:w="1417"/>
        <w:gridCol w:w="1984"/>
        <w:gridCol w:w="3401"/>
        <w:gridCol w:w="2551"/>
      </w:tblGrid>
      <w:tr>
        <w:trPr>
          <w:trHeight w:val="440" w:hRule="auto"/>
          <w:jc w:val="left"/>
        </w:trPr>
        <w:tc>
          <w:tcPr>
            <w:tcW w:w="141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12" w:left="0"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Category Code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Category Name </w:t>
            </w:r>
          </w:p>
        </w:tc>
        <w:tc>
          <w:tcPr>
            <w:tcW w:w="340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Example Merchants </w:t>
            </w:r>
          </w:p>
        </w:tc>
        <w:tc>
          <w:tcPr>
            <w:tcW w:w="255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MCC Range (indicative)</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FOOD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Food &amp; Dining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Swiggy, Zomato, Domino's, restaurants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5812, 5814, 5411</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GROC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Groceries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144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BigBasket, D-Mart, Reliance Smart, More 5411, 5422, 5441</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TRVL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Travel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144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IndiGo, Air India, IRCTC, MakeMyTrip, Uber4511, 4112, 7011</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SHOP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Shopping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Amazon, Myntra, Flipkart, Nykaa, Croma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5940, 5691, 5045</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ENTR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Entertainment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144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BookMyShow, Netflix, Hotstar, Spotify, PVR7832, 5813, 4812</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FUEL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Fuel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BPCL, HPCL, Indian Oil, Shell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5541, 5542</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HLTH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Health &amp; Medical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3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Apollo Pharmacy, Practo, hospitals, labs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5912, 8099, 8011</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EDUC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Education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BYJU'S, Coursera, schools, colleges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8220, 8211, 5942</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UTIL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Utilities &amp; Bills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144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BESCOM, Airtel, BSNL, Jio, LIC, insurance4900, 4813, 6300</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JEWL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Jewellery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544"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Tanishq, Kalyan Jewellers, Malabar Gold 5944</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ELEC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Electronics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Croma, Reliance Digital, Apple Store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5731, 5065, 5734</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AUTO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Automobile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1440"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Car service centres, petrol pumps, auto parts5511, 7531, 5571</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INTL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International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Any merchant billed in foreign currency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All MCCs (foreign)</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CASH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Cash Advance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ATM withdrawals on credit card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6010, 6011</w:t>
            </w:r>
          </w:p>
        </w:tc>
      </w:tr>
      <w:tr>
        <w:trPr>
          <w:trHeight w:val="440" w:hRule="auto"/>
          <w:jc w:val="left"/>
        </w:trPr>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OTHR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Others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517"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Transactions not matching above categoriesMisc</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88"/>
        <w:ind w:right="1914" w:left="1045" w:firstLine="0"/>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MCC ranges are indicative. NorthStar Bank's internal classification engine may override MCC-based categorisation for certain merchants. </w:t>
      </w:r>
    </w:p>
    <w:p>
      <w:pPr>
        <w:spacing w:before="213" w:after="0" w:line="240"/>
        <w:ind w:right="0" w:left="844"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2.2 Category Spend Limits &amp; Alerts </w:t>
      </w:r>
    </w:p>
    <w:p>
      <w:pPr>
        <w:spacing w:before="159" w:after="0" w:line="299"/>
        <w:ind w:right="813" w:left="848" w:hanging="1"/>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Customers can set monthly spend limits per category via the NorthStar mobile app. The system triggers an SMS/push notification when 80% and 100% of the category limit is reached.</w:t>
      </w:r>
    </w:p>
    <w:tbl>
      <w:tblPr>
        <w:tblInd w:w="850" w:type="dxa"/>
      </w:tblPr>
      <w:tblGrid>
        <w:gridCol w:w="2834"/>
        <w:gridCol w:w="4535"/>
        <w:gridCol w:w="1984"/>
      </w:tblGrid>
      <w:tr>
        <w:trPr>
          <w:trHeight w:val="440" w:hRule="auto"/>
          <w:jc w:val="left"/>
        </w:trPr>
        <w:tc>
          <w:tcPr>
            <w:tcW w:w="283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Alert Type </w:t>
            </w:r>
          </w:p>
        </w:tc>
        <w:tc>
          <w:tcPr>
            <w:tcW w:w="4535"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Trigger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Channel</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Category Limit 80% </w:t>
            </w:r>
          </w:p>
        </w:tc>
        <w:tc>
          <w:tcPr>
            <w:tcW w:w="45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80% of customer-set category limit reached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Push + SMS</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Category Limit Exceeded </w:t>
            </w:r>
          </w:p>
        </w:tc>
        <w:tc>
          <w:tcPr>
            <w:tcW w:w="45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100% of category limit reached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Push + SMS + Email</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Unusual Spend </w:t>
            </w:r>
          </w:p>
        </w:tc>
        <w:tc>
          <w:tcPr>
            <w:tcW w:w="45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Transaction &gt;3x average in same category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Push + SMS</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International Txn </w:t>
            </w:r>
          </w:p>
        </w:tc>
        <w:tc>
          <w:tcPr>
            <w:tcW w:w="45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Any transaction flagged as international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SMS (always)</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tbl>
      <w:tblPr>
        <w:tblInd w:w="850" w:type="dxa"/>
      </w:tblPr>
      <w:tblGrid>
        <w:gridCol w:w="2834"/>
        <w:gridCol w:w="4535"/>
        <w:gridCol w:w="1984"/>
      </w:tblGrid>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Large Transaction </w:t>
            </w:r>
          </w:p>
        </w:tc>
        <w:tc>
          <w:tcPr>
            <w:tcW w:w="45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Single transaction &gt;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Push + SMS</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1133" w:left="1174" w:firstLine="0"/>
        <w:jc w:val="center"/>
        <w:rPr>
          <w:rFonts w:ascii="Arial" w:hAnsi="Arial" w:cs="Arial" w:eastAsia="Arial"/>
          <w:b/>
          <w:color w:val="1F3864"/>
          <w:spacing w:val="0"/>
          <w:position w:val="0"/>
          <w:sz w:val="40"/>
          <w:u w:val="single"/>
          <w:shd w:fill="auto" w:val="clear"/>
        </w:rPr>
      </w:pPr>
      <w:r>
        <w:rPr>
          <w:rFonts w:ascii="Arial" w:hAnsi="Arial" w:cs="Arial" w:eastAsia="Arial"/>
          <w:b/>
          <w:color w:val="1F3864"/>
          <w:spacing w:val="0"/>
          <w:position w:val="0"/>
          <w:sz w:val="40"/>
          <w:u w:val="single"/>
          <w:shd w:fill="auto" w:val="clear"/>
        </w:rPr>
        <w:t xml:space="preserve">SECTION 3: BILLING CYCLE, STATEMENTS &amp; PAYMENTS </w:t>
      </w:r>
    </w:p>
    <w:p>
      <w:pPr>
        <w:spacing w:before="346"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3.1 Billing Cycle Structure </w:t>
      </w:r>
    </w:p>
    <w:p>
      <w:pPr>
        <w:spacing w:before="159" w:after="0" w:line="299"/>
        <w:ind w:right="813" w:left="850" w:firstLine="5"/>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Each NorthStar credit card has a fixed billing cycle based on the card's statement generation date. The billing cycle is 30 days, followed by a 20-day payment due period. </w:t>
      </w:r>
    </w:p>
    <w:tbl>
      <w:tblPr>
        <w:tblInd w:w="850" w:type="dxa"/>
      </w:tblPr>
      <w:tblGrid>
        <w:gridCol w:w="2834"/>
        <w:gridCol w:w="2834"/>
        <w:gridCol w:w="3685"/>
      </w:tblGrid>
      <w:tr>
        <w:trPr>
          <w:trHeight w:val="440" w:hRule="auto"/>
          <w:jc w:val="left"/>
        </w:trPr>
        <w:tc>
          <w:tcPr>
            <w:tcW w:w="283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Event </w:t>
            </w:r>
          </w:p>
        </w:tc>
        <w:tc>
          <w:tcPr>
            <w:tcW w:w="283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Timeline </w:t>
            </w:r>
          </w:p>
        </w:tc>
        <w:tc>
          <w:tcPr>
            <w:tcW w:w="3685"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Example (Statement Date: 25th)</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Billing Cycle Start </w:t>
            </w:r>
          </w:p>
        </w:tc>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Day 1 of cycle </w:t>
            </w:r>
          </w:p>
        </w:tc>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26th of previous month</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Billing Cycle End </w:t>
            </w:r>
          </w:p>
        </w:tc>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Day 30 of cycle </w:t>
            </w:r>
          </w:p>
        </w:tc>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25th of current month</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Statement Generation </w:t>
            </w:r>
          </w:p>
        </w:tc>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Day 30 (end of cycle) </w:t>
            </w:r>
          </w:p>
        </w:tc>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25th of current month</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Payment Due Date </w:t>
            </w:r>
          </w:p>
        </w:tc>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Statement Date + 20 days </w:t>
            </w:r>
          </w:p>
        </w:tc>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15th of next month</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Grace Period Ends </w:t>
            </w:r>
          </w:p>
        </w:tc>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Same as Payment Due Date </w:t>
            </w:r>
          </w:p>
        </w:tc>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15th of next month</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Finance Charges Begin </w:t>
            </w:r>
          </w:p>
        </w:tc>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Day after due date </w:t>
            </w:r>
          </w:p>
        </w:tc>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16th of next month</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0" w:left="1045" w:firstLine="0"/>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Transactions posted after the statement date will appear in the next month's statement. </w:t>
      </w:r>
    </w:p>
    <w:p>
      <w:pPr>
        <w:spacing w:before="129" w:after="0" w:line="288"/>
        <w:ind w:right="1046" w:left="1049" w:hanging="3"/>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If the due date falls on a bank holiday or Sunday, the payment will be accepted on the next working day without penalty. </w:t>
      </w:r>
    </w:p>
    <w:p>
      <w:pPr>
        <w:spacing w:before="213"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3.2 Statement Contents </w:t>
      </w:r>
    </w:p>
    <w:p>
      <w:pPr>
        <w:spacing w:before="159" w:after="0" w:line="299"/>
        <w:ind w:right="813" w:left="850" w:firstLine="2"/>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Monthly statements are sent via email (PDF) and accessible on the NorthStar mobile app and net banking portal. Each statement contains: </w:t>
      </w:r>
    </w:p>
    <w:p>
      <w:pPr>
        <w:spacing w:before="136" w:after="0" w:line="279"/>
        <w:ind w:right="1092" w:left="1146" w:hanging="4"/>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Summary section: Opening balance, total purchases, cash advances, payments, credits, fees, and closing balance </w:t>
      </w:r>
    </w:p>
    <w:p>
      <w:pPr>
        <w:spacing w:before="73" w:after="0" w:line="309"/>
        <w:ind w:right="870" w:left="1142"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Spend category breakdown: Total spend per category for the billing month with percentage of total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Transaction listing: Date, merchant name, category, amount, currency (for international), and running balance </w:t>
      </w:r>
    </w:p>
    <w:p>
      <w:pPr>
        <w:spacing w:before="48" w:after="0" w:line="339"/>
        <w:ind w:right="1804" w:left="1142"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Minimum Amount Due (MAD): 5% of outstanding or </w:t>
      </w:r>
      <w:r>
        <w:rPr>
          <w:rFonts w:ascii="Arial" w:hAnsi="Arial" w:cs="Arial" w:eastAsia="Arial"/>
          <w:color w:val="auto"/>
          <w:spacing w:val="0"/>
          <w:position w:val="0"/>
          <w:sz w:val="20"/>
          <w:shd w:fill="auto" w:val="clear"/>
        </w:rPr>
        <w:t xml:space="preserve">Rs. </w:t>
      </w:r>
      <w:r>
        <w:rPr>
          <w:rFonts w:ascii="Arial" w:hAnsi="Arial" w:cs="Arial" w:eastAsia="Arial"/>
          <w:color w:val="000000"/>
          <w:spacing w:val="0"/>
          <w:position w:val="0"/>
          <w:sz w:val="20"/>
          <w:u w:val="single"/>
          <w:shd w:fill="auto" w:val="clear"/>
        </w:rPr>
        <w:t xml:space="preserve">200 (whichever is higher)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Reward points summary: Points earned this period, redeemed, expired, and total available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EMI schedules: Active no-cost EMI plans with monthly instalments and remaining tenure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Payment options: NEFT details, UPI VPA, QR code for quick payment </w:t>
      </w:r>
    </w:p>
    <w:p>
      <w:pPr>
        <w:spacing w:before="163"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3.3 Payment Options &amp; Due Dates</w:t>
      </w:r>
    </w:p>
    <w:tbl>
      <w:tblPr>
        <w:tblInd w:w="850" w:type="dxa"/>
      </w:tblPr>
      <w:tblGrid>
        <w:gridCol w:w="2834"/>
        <w:gridCol w:w="2551"/>
        <w:gridCol w:w="3968"/>
      </w:tblGrid>
      <w:tr>
        <w:trPr>
          <w:trHeight w:val="440" w:hRule="auto"/>
          <w:jc w:val="left"/>
        </w:trPr>
        <w:tc>
          <w:tcPr>
            <w:tcW w:w="283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Payment Method </w:t>
            </w:r>
          </w:p>
        </w:tc>
        <w:tc>
          <w:tcPr>
            <w:tcW w:w="255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Processing Time </w:t>
            </w:r>
          </w:p>
        </w:tc>
        <w:tc>
          <w:tcPr>
            <w:tcW w:w="3968"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Credit to Card</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NorthStar Net Banking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Instant </w:t>
            </w:r>
          </w:p>
        </w:tc>
        <w:tc>
          <w:tcPr>
            <w:tcW w:w="396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Immediate</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UPI (any app)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Instant </w:t>
            </w:r>
          </w:p>
        </w:tc>
        <w:tc>
          <w:tcPr>
            <w:tcW w:w="396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Within 30 minutes</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NEFT / RTGS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4 hours </w:t>
            </w:r>
          </w:p>
        </w:tc>
        <w:tc>
          <w:tcPr>
            <w:tcW w:w="396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Same day (business hours)</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IMPS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Instant </w:t>
            </w:r>
          </w:p>
        </w:tc>
        <w:tc>
          <w:tcPr>
            <w:tcW w:w="396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Within 30 minutes</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tbl>
      <w:tblPr>
        <w:tblInd w:w="850" w:type="dxa"/>
      </w:tblPr>
      <w:tblGrid>
        <w:gridCol w:w="2834"/>
        <w:gridCol w:w="2551"/>
        <w:gridCol w:w="3968"/>
      </w:tblGrid>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Cheque (branch drop)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3 working days </w:t>
            </w:r>
          </w:p>
        </w:tc>
        <w:tc>
          <w:tcPr>
            <w:tcW w:w="396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On clearance</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Auto-Debit (NACH mandate)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On due date </w:t>
            </w:r>
          </w:p>
        </w:tc>
        <w:tc>
          <w:tcPr>
            <w:tcW w:w="396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On due date</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0" w:left="1045" w:firstLine="0"/>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Auto-Debit can be set for Minimum Amount Due, Fixed Amount, or Total Outstanding. </w:t>
      </w:r>
    </w:p>
    <w:p>
      <w:pPr>
        <w:spacing w:before="369" w:after="0" w:line="240"/>
        <w:ind w:right="0" w:left="0" w:firstLine="0"/>
        <w:jc w:val="center"/>
        <w:rPr>
          <w:rFonts w:ascii="Arial" w:hAnsi="Arial" w:cs="Arial" w:eastAsia="Arial"/>
          <w:b/>
          <w:color w:val="1F3864"/>
          <w:spacing w:val="0"/>
          <w:position w:val="0"/>
          <w:sz w:val="40"/>
          <w:u w:val="single"/>
          <w:shd w:fill="auto" w:val="clear"/>
        </w:rPr>
      </w:pPr>
      <w:r>
        <w:rPr>
          <w:rFonts w:ascii="Arial" w:hAnsi="Arial" w:cs="Arial" w:eastAsia="Arial"/>
          <w:b/>
          <w:color w:val="1F3864"/>
          <w:spacing w:val="0"/>
          <w:position w:val="0"/>
          <w:sz w:val="40"/>
          <w:u w:val="single"/>
          <w:shd w:fill="auto" w:val="clear"/>
        </w:rPr>
        <w:t xml:space="preserve">SECTION 4: REWARDS PROGRAMME </w:t>
      </w:r>
    </w:p>
    <w:p>
      <w:pPr>
        <w:spacing w:before="313"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4.1 Reward Points Earn Rate </w:t>
      </w:r>
    </w:p>
    <w:tbl>
      <w:tblPr>
        <w:tblInd w:w="283" w:type="dxa"/>
      </w:tblPr>
      <w:tblGrid>
        <w:gridCol w:w="1984"/>
        <w:gridCol w:w="1984"/>
        <w:gridCol w:w="2267"/>
        <w:gridCol w:w="2267"/>
        <w:gridCol w:w="1984"/>
      </w:tblGrid>
      <w:tr>
        <w:trPr>
          <w:trHeight w:val="440" w:hRule="auto"/>
          <w:jc w:val="left"/>
        </w:trPr>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Card Variant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Base Rate </w:t>
            </w:r>
          </w:p>
        </w:tc>
        <w:tc>
          <w:tcPr>
            <w:tcW w:w="226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Dining &amp; Travel </w:t>
            </w:r>
          </w:p>
        </w:tc>
        <w:tc>
          <w:tcPr>
            <w:tcW w:w="226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1"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International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Grocery &amp; Fuel</w:t>
            </w:r>
          </w:p>
        </w:tc>
      </w:tr>
      <w:tr>
        <w:trPr>
          <w:trHeight w:val="440" w:hRule="auto"/>
          <w:jc w:val="left"/>
        </w:trPr>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Classic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pt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pt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pt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pt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w:t>
            </w:r>
          </w:p>
        </w:tc>
      </w:tr>
      <w:tr>
        <w:trPr>
          <w:trHeight w:val="440" w:hRule="auto"/>
          <w:jc w:val="left"/>
        </w:trPr>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Gold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pt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2X (2 pts/</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2X (2 pts/</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pt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w:t>
            </w:r>
          </w:p>
        </w:tc>
      </w:tr>
      <w:tr>
        <w:trPr>
          <w:trHeight w:val="440" w:hRule="auto"/>
          <w:jc w:val="left"/>
        </w:trPr>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Platinum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 pts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3X (6 pts/</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3X (6 pts/</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pt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w:t>
            </w:r>
          </w:p>
        </w:tc>
      </w:tr>
      <w:tr>
        <w:trPr>
          <w:trHeight w:val="440" w:hRule="auto"/>
          <w:jc w:val="left"/>
        </w:trPr>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Signature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3 pts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4X (12 pts/</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5X (15 pts/</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 pts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0" w:left="1045" w:firstLine="0"/>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1 Reward Point = </w:t>
      </w:r>
      <w:r>
        <w:rPr>
          <w:rFonts w:ascii="Arial" w:hAnsi="Arial" w:cs="Arial" w:eastAsia="Arial"/>
          <w:color w:val="7F7F7F"/>
          <w:spacing w:val="0"/>
          <w:position w:val="0"/>
          <w:sz w:val="18"/>
          <w:shd w:fill="auto" w:val="clear"/>
        </w:rPr>
        <w:t xml:space="preserve">Rs. </w:t>
      </w:r>
      <w:r>
        <w:rPr>
          <w:rFonts w:ascii="Arial" w:hAnsi="Arial" w:cs="Arial" w:eastAsia="Arial"/>
          <w:color w:val="7F7F7F"/>
          <w:spacing w:val="0"/>
          <w:position w:val="0"/>
          <w:sz w:val="18"/>
          <w:u w:val="single"/>
          <w:shd w:fill="auto" w:val="clear"/>
        </w:rPr>
        <w:t xml:space="preserve">0.25 redemption value against statement credit, vouchers, or product catalogue. </w:t>
      </w:r>
    </w:p>
    <w:p>
      <w:pPr>
        <w:spacing w:before="129" w:after="0" w:line="288"/>
        <w:ind w:right="1087" w:left="1045" w:firstLine="0"/>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Reward points are NOT earned on: fuel (surcharge portion), cash advances, EMI transactions, fees &amp; charges, and tax payments. </w:t>
      </w:r>
    </w:p>
    <w:p>
      <w:pPr>
        <w:spacing w:before="213"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4.2 Reward Point Redemption </w:t>
      </w:r>
    </w:p>
    <w:p>
      <w:pPr>
        <w:spacing w:before="213" w:after="0" w:line="240"/>
        <w:ind w:right="0" w:left="845" w:firstLine="0"/>
        <w:jc w:val="center"/>
        <w:rPr>
          <w:rFonts w:ascii="Arial" w:hAnsi="Arial" w:cs="Arial" w:eastAsia="Arial"/>
          <w:b/>
          <w:color w:val="1F3864"/>
          <w:spacing w:val="0"/>
          <w:position w:val="0"/>
          <w:sz w:val="24"/>
          <w:u w:val="single"/>
          <w:shd w:fill="auto" w:val="clear"/>
        </w:rPr>
      </w:pPr>
      <w:r>
        <w:object w:dxaOrig="7001" w:dyaOrig="3735">
          <v:rect xmlns:o="urn:schemas-microsoft-com:office:office" xmlns:v="urn:schemas-microsoft-com:vml" id="rectole0000000001" style="width:350.050000pt;height:186.7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tbl>
      <w:tblPr>
        <w:tblInd w:w="850" w:type="dxa"/>
      </w:tblPr>
      <w:tblGrid>
        <w:gridCol w:w="2267"/>
        <w:gridCol w:w="1700"/>
        <w:gridCol w:w="1984"/>
        <w:gridCol w:w="3401"/>
      </w:tblGrid>
      <w:tr>
        <w:trPr>
          <w:trHeight w:val="440" w:hRule="auto"/>
          <w:jc w:val="left"/>
        </w:trPr>
        <w:tc>
          <w:tcPr>
            <w:tcW w:w="226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Redemption Type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Min Points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Value per Point </w:t>
            </w:r>
          </w:p>
        </w:tc>
        <w:tc>
          <w:tcPr>
            <w:tcW w:w="340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Notes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Statement Credit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500 pts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0.25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463"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Credited to card account within 2 working days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Partner Vouchers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200 pts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0.30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Amazon, Flipkart, Myntra, Swiggy, Zomato</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Airline Miles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1,000 pts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1:1 mile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273" w:left="0" w:firstLine="0"/>
              <w:jc w:val="right"/>
              <w:rPr>
                <w:spacing w:val="0"/>
                <w:position w:val="0"/>
                <w:shd w:fill="auto" w:val="clear"/>
              </w:rPr>
            </w:pPr>
            <w:r>
              <w:rPr>
                <w:rFonts w:ascii="Arial" w:hAnsi="Arial" w:cs="Arial" w:eastAsia="Arial"/>
                <w:color w:val="000000"/>
                <w:spacing w:val="0"/>
                <w:position w:val="0"/>
                <w:sz w:val="18"/>
                <w:u w:val="single"/>
                <w:shd w:fill="auto" w:val="clear"/>
              </w:rPr>
              <w:t xml:space="preserve">Air India Flying Returns, IndiGo 6E Rewards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Hotel Points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1,000 pts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1:2 pts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Marriott Bonvoy, IHG Rewards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Product Catalogue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500 pts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0.20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Electronics, appliances, gift cards</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374" w:left="0" w:firstLine="0"/>
        <w:jc w:val="left"/>
        <w:rPr>
          <w:rFonts w:ascii="Arial" w:hAnsi="Arial" w:cs="Arial" w:eastAsia="Arial"/>
          <w:color w:val="000000"/>
          <w:spacing w:val="0"/>
          <w:position w:val="0"/>
          <w:sz w:val="18"/>
          <w:u w:val="single"/>
          <w:shd w:fill="auto" w:val="clear"/>
        </w:rPr>
      </w:pPr>
      <w:r>
        <w:rPr>
          <w:rFonts w:ascii="Arial" w:hAnsi="Arial" w:cs="Arial" w:eastAsia="Arial"/>
          <w:color w:val="000000"/>
          <w:spacing w:val="0"/>
          <w:position w:val="0"/>
          <w:sz w:val="18"/>
          <w:u w:val="single"/>
          <w:shd w:fill="auto" w:val="clear"/>
        </w:rPr>
        <w:t xml:space="preserve">  </w:t>
      </w:r>
    </w:p>
    <w:p>
      <w:pPr>
        <w:spacing w:before="1209"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4.3 Points Expiry Policy </w:t>
      </w:r>
    </w:p>
    <w:p>
      <w:pPr>
        <w:spacing w:before="159" w:after="0" w:line="279"/>
        <w:ind w:right="1492" w:left="1141"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Points earned in a calendar year expire on December 31st of the following year (18</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24 month window). </w:t>
      </w:r>
    </w:p>
    <w:p>
      <w:pPr>
        <w:spacing w:before="73" w:after="0" w:line="279"/>
        <w:ind w:right="864" w:left="1145" w:hanging="3"/>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Points are forfeited immediately on card closure or if the account becomes delinquent (90+ days past due). </w:t>
      </w:r>
    </w:p>
    <w:p>
      <w:pPr>
        <w:spacing w:before="73" w:after="0" w:line="279"/>
        <w:ind w:right="1393" w:left="1141"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Bonus points from promotional campaigns may have shorter expiry periods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check campaign T&amp;Cs.; </w:t>
      </w:r>
    </w:p>
    <w:p>
      <w:pPr>
        <w:spacing w:before="73" w:after="0" w:line="579"/>
        <w:ind w:right="813" w:left="854" w:firstLine="0"/>
        <w:jc w:val="center"/>
        <w:rPr>
          <w:rFonts w:ascii="Arial" w:hAnsi="Arial" w:cs="Arial" w:eastAsia="Arial"/>
          <w:b/>
          <w:color w:val="1F3864"/>
          <w:spacing w:val="0"/>
          <w:position w:val="0"/>
          <w:sz w:val="4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Points expiry reminders are sent 60 days and 30 days before expiry via email and push notification. </w:t>
      </w:r>
      <w:r>
        <w:rPr>
          <w:rFonts w:ascii="Arial" w:hAnsi="Arial" w:cs="Arial" w:eastAsia="Arial"/>
          <w:b/>
          <w:color w:val="1F3864"/>
          <w:spacing w:val="0"/>
          <w:position w:val="0"/>
          <w:sz w:val="40"/>
          <w:u w:val="single"/>
          <w:shd w:fill="auto" w:val="clear"/>
        </w:rPr>
        <w:t xml:space="preserve">SECTION 5: FEES, CHARGES &amp; FINANCE COSTS </w:t>
      </w:r>
    </w:p>
    <w:p>
      <w:pPr>
        <w:spacing w:before="63"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5.1 Complete Fee Schedule</w:t>
      </w:r>
    </w:p>
    <w:tbl>
      <w:tblPr>
        <w:tblInd w:w="793" w:type="dxa"/>
      </w:tblPr>
      <w:tblGrid>
        <w:gridCol w:w="3118"/>
        <w:gridCol w:w="1587"/>
        <w:gridCol w:w="1587"/>
        <w:gridCol w:w="1587"/>
        <w:gridCol w:w="1587"/>
      </w:tblGrid>
      <w:tr>
        <w:trPr>
          <w:trHeight w:val="440" w:hRule="auto"/>
          <w:jc w:val="left"/>
        </w:trPr>
        <w:tc>
          <w:tcPr>
            <w:tcW w:w="3118"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Charge Type </w:t>
            </w:r>
          </w:p>
        </w:tc>
        <w:tc>
          <w:tcPr>
            <w:tcW w:w="158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Classic </w:t>
            </w:r>
          </w:p>
        </w:tc>
        <w:tc>
          <w:tcPr>
            <w:tcW w:w="158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Gold </w:t>
            </w:r>
          </w:p>
        </w:tc>
        <w:tc>
          <w:tcPr>
            <w:tcW w:w="158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Platinum </w:t>
            </w:r>
          </w:p>
        </w:tc>
        <w:tc>
          <w:tcPr>
            <w:tcW w:w="158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Signature</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Annual Fee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499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999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2,499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5,000</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Add-on Card Fee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199/card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499/card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999/card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NIL</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Finance Charge (monthly)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3.49%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3.49%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3.25%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3.00%</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Cash Advance Fee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center"/>
              <w:rPr>
                <w:color w:val="auto"/>
                <w:spacing w:val="0"/>
                <w:position w:val="0"/>
                <w:shd w:fill="auto" w:val="clear"/>
              </w:rPr>
            </w:pPr>
            <w:r>
              <w:rPr>
                <w:rFonts w:ascii="Arial" w:hAnsi="Arial" w:cs="Arial" w:eastAsia="Arial"/>
                <w:color w:val="auto"/>
                <w:spacing w:val="0"/>
                <w:position w:val="0"/>
                <w:sz w:val="18"/>
                <w:shd w:fill="auto" w:val="clear"/>
              </w:rPr>
              <w:t xml:space="preserve">2.5% (min Rs. 500)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center"/>
              <w:rPr>
                <w:color w:val="auto"/>
                <w:spacing w:val="0"/>
                <w:position w:val="0"/>
                <w:shd w:fill="auto" w:val="clear"/>
              </w:rPr>
            </w:pPr>
            <w:r>
              <w:rPr>
                <w:rFonts w:ascii="Arial" w:hAnsi="Arial" w:cs="Arial" w:eastAsia="Arial"/>
                <w:color w:val="auto"/>
                <w:spacing w:val="0"/>
                <w:position w:val="0"/>
                <w:sz w:val="18"/>
                <w:shd w:fill="auto" w:val="clear"/>
              </w:rPr>
              <w:t xml:space="preserve">2.5% (min Rs. 500)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center"/>
              <w:rPr>
                <w:color w:val="auto"/>
                <w:spacing w:val="0"/>
                <w:position w:val="0"/>
                <w:shd w:fill="auto" w:val="clear"/>
              </w:rPr>
            </w:pPr>
            <w:r>
              <w:rPr>
                <w:rFonts w:ascii="Arial" w:hAnsi="Arial" w:cs="Arial" w:eastAsia="Arial"/>
                <w:color w:val="auto"/>
                <w:spacing w:val="0"/>
                <w:position w:val="0"/>
                <w:sz w:val="18"/>
                <w:shd w:fill="auto" w:val="clear"/>
              </w:rPr>
              <w:t xml:space="preserve">2.5% (min Rs. 500)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center"/>
              <w:rPr>
                <w:color w:val="auto"/>
                <w:spacing w:val="0"/>
                <w:position w:val="0"/>
                <w:shd w:fill="auto" w:val="clear"/>
              </w:rPr>
            </w:pPr>
            <w:r>
              <w:rPr>
                <w:rFonts w:ascii="Arial" w:hAnsi="Arial" w:cs="Arial" w:eastAsia="Arial"/>
                <w:color w:val="auto"/>
                <w:spacing w:val="0"/>
                <w:position w:val="0"/>
                <w:sz w:val="18"/>
                <w:shd w:fill="auto" w:val="clear"/>
              </w:rPr>
              <w:t xml:space="preserve">2.0% (min Rs. 500)</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Foreign Currency Markup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3.50%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3.50%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3.50%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0% (waived)</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Late Payment (&gt;Rs. 10,000 due)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1,200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1,200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1,000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750</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Over-Limit Fee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center"/>
              <w:rPr>
                <w:color w:val="auto"/>
                <w:spacing w:val="0"/>
                <w:position w:val="0"/>
                <w:shd w:fill="auto" w:val="clear"/>
              </w:rPr>
            </w:pPr>
            <w:r>
              <w:rPr>
                <w:rFonts w:ascii="Arial" w:hAnsi="Arial" w:cs="Arial" w:eastAsia="Arial"/>
                <w:color w:val="auto"/>
                <w:spacing w:val="0"/>
                <w:position w:val="0"/>
                <w:sz w:val="18"/>
                <w:shd w:fill="auto" w:val="clear"/>
              </w:rPr>
              <w:t xml:space="preserve">2.5% (min Rs. 500)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center"/>
              <w:rPr>
                <w:color w:val="auto"/>
                <w:spacing w:val="0"/>
                <w:position w:val="0"/>
                <w:shd w:fill="auto" w:val="clear"/>
              </w:rPr>
            </w:pPr>
            <w:r>
              <w:rPr>
                <w:rFonts w:ascii="Arial" w:hAnsi="Arial" w:cs="Arial" w:eastAsia="Arial"/>
                <w:color w:val="auto"/>
                <w:spacing w:val="0"/>
                <w:position w:val="0"/>
                <w:sz w:val="18"/>
                <w:shd w:fill="auto" w:val="clear"/>
              </w:rPr>
              <w:t xml:space="preserve">2.5% (min Rs. 500)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center"/>
              <w:rPr>
                <w:color w:val="auto"/>
                <w:spacing w:val="0"/>
                <w:position w:val="0"/>
                <w:shd w:fill="auto" w:val="clear"/>
              </w:rPr>
            </w:pPr>
            <w:r>
              <w:rPr>
                <w:rFonts w:ascii="Arial" w:hAnsi="Arial" w:cs="Arial" w:eastAsia="Arial"/>
                <w:color w:val="auto"/>
                <w:spacing w:val="0"/>
                <w:position w:val="0"/>
                <w:sz w:val="18"/>
                <w:shd w:fill="auto" w:val="clear"/>
              </w:rPr>
              <w:t xml:space="preserve">2.0% (min Rs. 500)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NIL</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Duplicate Statement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100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100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NIL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NIL</w:t>
            </w:r>
          </w:p>
        </w:tc>
      </w:tr>
      <w:tr>
        <w:trPr>
          <w:trHeight w:val="440" w:hRule="auto"/>
          <w:jc w:val="left"/>
        </w:trPr>
        <w:tc>
          <w:tcPr>
            <w:tcW w:w="3118"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Card Replacement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200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Rs. 200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NIL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color w:val="auto"/>
                <w:spacing w:val="0"/>
                <w:position w:val="0"/>
                <w:shd w:fill="auto" w:val="clear"/>
              </w:rPr>
            </w:pPr>
            <w:r>
              <w:rPr>
                <w:rFonts w:ascii="Arial" w:hAnsi="Arial" w:cs="Arial" w:eastAsia="Arial"/>
                <w:color w:val="auto"/>
                <w:spacing w:val="0"/>
                <w:position w:val="0"/>
                <w:sz w:val="18"/>
                <w:shd w:fill="auto" w:val="clear"/>
              </w:rPr>
              <w:t xml:space="preserve">NIL</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377"/>
        <w:ind w:right="2667" w:left="1045" w:firstLine="0"/>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Finance charges apply only when full outstanding is not paid by due date (revolving credit). * GST @ 18% is applicable on all fees and charges. </w:t>
      </w:r>
    </w:p>
    <w:p>
      <w:pPr>
        <w:spacing w:before="0" w:after="0" w:line="377"/>
        <w:ind w:right="2667" w:left="1045" w:firstLine="0"/>
        <w:jc w:val="left"/>
        <w:rPr>
          <w:rFonts w:ascii="Arial" w:hAnsi="Arial" w:cs="Arial" w:eastAsia="Arial"/>
          <w:color w:val="7F7F7F"/>
          <w:spacing w:val="0"/>
          <w:position w:val="0"/>
          <w:sz w:val="18"/>
          <w:shd w:fill="auto" w:val="clear"/>
        </w:rPr>
      </w:pPr>
    </w:p>
    <w:p>
      <w:pPr>
        <w:spacing w:before="0" w:after="0" w:line="377"/>
        <w:ind w:right="2667" w:left="1045" w:firstLine="0"/>
        <w:jc w:val="left"/>
        <w:rPr>
          <w:rFonts w:ascii="Arial" w:hAnsi="Arial" w:cs="Arial" w:eastAsia="Arial"/>
          <w:color w:val="7F7F7F"/>
          <w:spacing w:val="0"/>
          <w:position w:val="0"/>
          <w:sz w:val="18"/>
          <w:shd w:fill="auto" w:val="clear"/>
        </w:rPr>
      </w:pPr>
    </w:p>
    <w:p>
      <w:pPr>
        <w:spacing w:before="146" w:after="0" w:line="240"/>
        <w:ind w:right="0" w:left="845"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5.2 Late Payment Fee Slab </w:t>
      </w:r>
    </w:p>
    <w:tbl>
      <w:tblPr>
        <w:tblInd w:w="850" w:type="dxa"/>
      </w:tblPr>
      <w:tblGrid>
        <w:gridCol w:w="2834"/>
        <w:gridCol w:w="6519"/>
      </w:tblGrid>
      <w:tr>
        <w:trPr>
          <w:trHeight w:val="440" w:hRule="auto"/>
          <w:jc w:val="left"/>
        </w:trPr>
        <w:tc>
          <w:tcPr>
            <w:tcW w:w="283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Outstanding Amount Due </w:t>
            </w:r>
          </w:p>
        </w:tc>
        <w:tc>
          <w:tcPr>
            <w:tcW w:w="6519"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Late Payment Fee</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Up to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NIL</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501 </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5,000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5,001 </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10,000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750</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Above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10,000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1,200 (Classic/Gold)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1,000 (Platinum) |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750 (Signature)</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1222" w:left="1263" w:firstLine="0"/>
        <w:jc w:val="center"/>
        <w:rPr>
          <w:rFonts w:ascii="Arial" w:hAnsi="Arial" w:cs="Arial" w:eastAsia="Arial"/>
          <w:b/>
          <w:color w:val="1F3864"/>
          <w:spacing w:val="0"/>
          <w:position w:val="0"/>
          <w:sz w:val="40"/>
          <w:u w:val="single"/>
          <w:shd w:fill="auto" w:val="clear"/>
        </w:rPr>
      </w:pPr>
      <w:r>
        <w:rPr>
          <w:rFonts w:ascii="Arial" w:hAnsi="Arial" w:cs="Arial" w:eastAsia="Arial"/>
          <w:b/>
          <w:color w:val="1F3864"/>
          <w:spacing w:val="0"/>
          <w:position w:val="0"/>
          <w:sz w:val="40"/>
          <w:u w:val="single"/>
          <w:shd w:fill="auto" w:val="clear"/>
        </w:rPr>
        <w:t xml:space="preserve">SECTION 6: SPEND SUMMARY </w:t>
      </w:r>
      <w:r>
        <w:rPr>
          <w:rFonts w:ascii="Arial" w:hAnsi="Arial" w:cs="Arial" w:eastAsia="Arial"/>
          <w:b/>
          <w:color w:val="1F3864"/>
          <w:spacing w:val="0"/>
          <w:position w:val="0"/>
          <w:sz w:val="40"/>
          <w:u w:val="single"/>
          <w:shd w:fill="auto" w:val="clear"/>
        </w:rPr>
        <w:t xml:space="preserve">—</w:t>
      </w:r>
      <w:r>
        <w:rPr>
          <w:rFonts w:ascii="Arial" w:hAnsi="Arial" w:cs="Arial" w:eastAsia="Arial"/>
          <w:b/>
          <w:color w:val="1F3864"/>
          <w:spacing w:val="0"/>
          <w:position w:val="0"/>
          <w:sz w:val="40"/>
          <w:u w:val="single"/>
          <w:shd w:fill="auto" w:val="clear"/>
        </w:rPr>
        <w:t xml:space="preserve"> BUSINESS RULES </w:t>
      </w:r>
    </w:p>
    <w:p>
      <w:pPr>
        <w:spacing w:before="346" w:after="0" w:line="240"/>
        <w:ind w:right="0" w:left="846"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6.1 How Monthly Spend Summaries Are Computed </w:t>
      </w:r>
    </w:p>
    <w:p>
      <w:pPr>
        <w:spacing w:before="159" w:after="0" w:line="299"/>
        <w:ind w:right="813" w:left="850" w:hanging="8"/>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The Credit Card Spend Summarizer computes summaries from raw transaction data using the following business rules: </w:t>
      </w:r>
    </w:p>
    <w:p>
      <w:pPr>
        <w:spacing w:before="136" w:after="0" w:line="279"/>
        <w:ind w:right="1254" w:left="1141"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Include only transactions with txn_type = 'purchase' in spend totals. Exclude: payments, refunds, fees, cash advances. </w:t>
      </w:r>
    </w:p>
    <w:p>
      <w:pPr>
        <w:spacing w:before="73" w:after="0" w:line="309"/>
        <w:ind w:right="1587" w:left="1142"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Refunds (txn_type = 'refund') reduce the net spend in the corresponding category.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International transactions are flagged separately (is_international = TRUE) and reported as a sub-total. </w:t>
      </w:r>
    </w:p>
    <w:p>
      <w:pPr>
        <w:spacing w:before="48" w:after="0" w:line="319"/>
        <w:ind w:right="1136" w:left="1142"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EMI transactions are counted as single spend at the time of purchase, not per monthly instalment.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Transactions in foreign currency are converted to INR at the rate on the transaction date.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Category is assigned by the system; the merchant_name field is used for human-readable summaries. </w:t>
      </w:r>
    </w:p>
    <w:p>
      <w:pPr>
        <w:spacing w:before="360" w:after="0" w:line="240"/>
        <w:ind w:right="0" w:left="846"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6.2 Sample Spend Summary Output Format </w:t>
      </w:r>
    </w:p>
    <w:p>
      <w:pPr>
        <w:spacing w:before="159" w:after="0" w:line="240"/>
        <w:ind w:right="0" w:left="841"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A well-formed spend summary for a billing month should include the following elements:</w:t>
      </w: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tbl>
      <w:tblPr>
        <w:tblInd w:w="850" w:type="dxa"/>
      </w:tblPr>
      <w:tblGrid>
        <w:gridCol w:w="2551"/>
        <w:gridCol w:w="3401"/>
        <w:gridCol w:w="3401"/>
      </w:tblGrid>
      <w:tr>
        <w:trPr>
          <w:trHeight w:val="440" w:hRule="auto"/>
          <w:jc w:val="left"/>
        </w:trPr>
        <w:tc>
          <w:tcPr>
            <w:tcW w:w="255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shd w:fill="auto" w:val="clear"/>
              </w:rPr>
              <w:t xml:space="preserve">Summary Element </w:t>
            </w:r>
          </w:p>
        </w:tc>
        <w:tc>
          <w:tcPr>
            <w:tcW w:w="340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shd w:fill="auto" w:val="clear"/>
              </w:rPr>
              <w:t xml:space="preserve">Description </w:t>
            </w:r>
          </w:p>
        </w:tc>
        <w:tc>
          <w:tcPr>
            <w:tcW w:w="340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shd w:fill="auto" w:val="clear"/>
              </w:rPr>
              <w:t xml:space="preserve">Example</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Total Spend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Sum of all purchases this month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42,300</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Top Category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Category with highest spend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Travel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17,500 </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 41%)</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of Transactions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Count of purchase transactions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18 transactions</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Avg Transaction Value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Total spend / no. of transactions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2,350 average</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International Spend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Total of is_international = TRUE txns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8,200 (2 transactions)</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Largest Single Purchase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Max amount in purchase transactions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12,000 </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 Amazon UK</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Reward Points Earned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Points from this month's spend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846 points (</w:t>
            </w:r>
            <w:r>
              <w:rPr>
                <w:rFonts w:ascii="Cambria Math" w:hAnsi="Cambria Math" w:cs="Cambria Math" w:eastAsia="Cambria Math"/>
                <w:color w:val="000000"/>
                <w:spacing w:val="0"/>
                <w:position w:val="0"/>
                <w:sz w:val="18"/>
                <w:u w:val="single"/>
                <w:shd w:fill="auto" w:val="clear"/>
              </w:rPr>
              <w:t xml:space="preserve">≈</w:t>
            </w:r>
            <w:r>
              <w:rPr>
                <w:rFonts w:ascii="Noto Sans Symbols" w:hAnsi="Noto Sans Symbols" w:cs="Noto Sans Symbols" w:eastAsia="Noto Sans Symbols"/>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212 value)</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Category Breakdown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Spend per category as % of total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See table below</w:t>
            </w:r>
          </w:p>
        </w:tc>
      </w:tr>
      <w:tr>
        <w:trPr>
          <w:trHeight w:val="440" w:hRule="auto"/>
          <w:jc w:val="left"/>
        </w:trPr>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Month-over-Month Change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1"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vs. previous billing month spend </w:t>
            </w:r>
          </w:p>
        </w:tc>
        <w:tc>
          <w:tcPr>
            <w:tcW w:w="340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+12% vs. last month</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0" w:left="846"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6.3 Sample Category Breakdown Table (Statement Insert) </w:t>
      </w:r>
    </w:p>
    <w:tbl>
      <w:tblPr>
        <w:tblInd w:w="708" w:type="dxa"/>
      </w:tblPr>
      <w:tblGrid>
        <w:gridCol w:w="2267"/>
        <w:gridCol w:w="1587"/>
        <w:gridCol w:w="1814"/>
        <w:gridCol w:w="1700"/>
        <w:gridCol w:w="2267"/>
      </w:tblGrid>
      <w:tr>
        <w:trPr>
          <w:trHeight w:val="440" w:hRule="auto"/>
          <w:jc w:val="left"/>
        </w:trPr>
        <w:tc>
          <w:tcPr>
            <w:tcW w:w="226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Category </w:t>
            </w:r>
          </w:p>
        </w:tc>
        <w:tc>
          <w:tcPr>
            <w:tcW w:w="158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No. of Txns </w:t>
            </w:r>
          </w:p>
        </w:tc>
        <w:tc>
          <w:tcPr>
            <w:tcW w:w="181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Total Spend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 of Total </w:t>
            </w:r>
          </w:p>
        </w:tc>
        <w:tc>
          <w:tcPr>
            <w:tcW w:w="226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Reward Pts Earned</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Travel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3 </w:t>
            </w:r>
          </w:p>
        </w:tc>
        <w:tc>
          <w:tcPr>
            <w:tcW w:w="181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17,500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41.4%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350 pts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Shopping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4 </w:t>
            </w:r>
          </w:p>
        </w:tc>
        <w:tc>
          <w:tcPr>
            <w:tcW w:w="181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10,200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24.1%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204 pts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Food &amp; Dining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 </w:t>
            </w:r>
          </w:p>
        </w:tc>
        <w:tc>
          <w:tcPr>
            <w:tcW w:w="181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6,300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14.9%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189 pts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Entertainment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 </w:t>
            </w:r>
          </w:p>
        </w:tc>
        <w:tc>
          <w:tcPr>
            <w:tcW w:w="181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3,700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8.7%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74 pts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Groceries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 </w:t>
            </w:r>
          </w:p>
        </w:tc>
        <w:tc>
          <w:tcPr>
            <w:tcW w:w="181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2,900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6.9%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58 pts</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Utilities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 </w:t>
            </w:r>
          </w:p>
        </w:tc>
        <w:tc>
          <w:tcPr>
            <w:tcW w:w="181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1,700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4.0%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17 pts (capped)</w:t>
            </w:r>
          </w:p>
        </w:tc>
      </w:tr>
      <w:tr>
        <w:trPr>
          <w:trHeight w:val="440" w:hRule="auto"/>
          <w:jc w:val="left"/>
        </w:trPr>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TOTAL </w:t>
            </w:r>
          </w:p>
        </w:tc>
        <w:tc>
          <w:tcPr>
            <w:tcW w:w="158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17 </w:t>
            </w:r>
          </w:p>
        </w:tc>
        <w:tc>
          <w:tcPr>
            <w:tcW w:w="181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42,300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100%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892 pts</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88"/>
        <w:ind w:right="846" w:left="1041" w:firstLine="4"/>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 Reward points for utilities and insurance categories are capped at 500 points per statement month across all such transactions. </w:t>
      </w:r>
    </w:p>
    <w:p>
      <w:pPr>
        <w:spacing w:before="213" w:after="0" w:line="240"/>
        <w:ind w:right="0" w:left="846"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6.4 Edge Cases &amp; Handling Rules </w:t>
      </w:r>
    </w:p>
    <w:tbl>
      <w:tblPr>
        <w:tblInd w:w="850" w:type="dxa"/>
      </w:tblPr>
      <w:tblGrid>
        <w:gridCol w:w="3685"/>
        <w:gridCol w:w="5669"/>
      </w:tblGrid>
      <w:tr>
        <w:trPr>
          <w:trHeight w:val="440" w:hRule="auto"/>
          <w:jc w:val="left"/>
        </w:trPr>
        <w:tc>
          <w:tcPr>
            <w:tcW w:w="3685"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Scenario </w:t>
            </w:r>
          </w:p>
        </w:tc>
        <w:tc>
          <w:tcPr>
            <w:tcW w:w="5669"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Handling Rule</w:t>
            </w:r>
          </w:p>
        </w:tc>
      </w:tr>
      <w:tr>
        <w:trPr>
          <w:trHeight w:val="440" w:hRule="auto"/>
          <w:jc w:val="left"/>
        </w:trPr>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Partial refund on a purchase </w:t>
            </w:r>
          </w:p>
        </w:tc>
        <w:tc>
          <w:tcPr>
            <w:tcW w:w="566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Net spend = Original amount minus refund amount; category unchanged</w:t>
            </w:r>
          </w:p>
        </w:tc>
      </w:tr>
      <w:tr>
        <w:trPr>
          <w:trHeight w:val="440" w:hRule="auto"/>
          <w:jc w:val="left"/>
        </w:trPr>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Merchant recategorised mid-cycle </w:t>
            </w:r>
          </w:p>
        </w:tc>
        <w:tc>
          <w:tcPr>
            <w:tcW w:w="566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center"/>
              <w:rPr>
                <w:spacing w:val="0"/>
                <w:position w:val="0"/>
                <w:shd w:fill="auto" w:val="clear"/>
              </w:rPr>
            </w:pPr>
            <w:r>
              <w:rPr>
                <w:rFonts w:ascii="Arial" w:hAnsi="Arial" w:cs="Arial" w:eastAsia="Arial"/>
                <w:color w:val="000000"/>
                <w:spacing w:val="0"/>
                <w:position w:val="0"/>
                <w:sz w:val="18"/>
                <w:u w:val="single"/>
                <w:shd w:fill="auto" w:val="clear"/>
              </w:rPr>
              <w:t xml:space="preserve">Use category at time of posting, not at time of statement generation</w:t>
            </w:r>
          </w:p>
        </w:tc>
      </w:tr>
      <w:tr>
        <w:trPr>
          <w:trHeight w:val="440" w:hRule="auto"/>
          <w:jc w:val="left"/>
        </w:trPr>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Transaction dispute raised </w:t>
            </w:r>
          </w:p>
        </w:tc>
        <w:tc>
          <w:tcPr>
            <w:tcW w:w="566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Disputed amount excluded from spend summary until resolved</w:t>
            </w:r>
          </w:p>
        </w:tc>
      </w:tr>
      <w:tr>
        <w:trPr>
          <w:trHeight w:val="440" w:hRule="auto"/>
          <w:jc w:val="left"/>
        </w:trPr>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 transactions in a category </w:t>
            </w:r>
          </w:p>
        </w:tc>
        <w:tc>
          <w:tcPr>
            <w:tcW w:w="566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Category omitted from breakdown; not shown as </w:t>
            </w: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0</w:t>
            </w:r>
          </w:p>
        </w:tc>
      </w:tr>
      <w:tr>
        <w:trPr>
          <w:trHeight w:val="440" w:hRule="auto"/>
          <w:jc w:val="left"/>
        </w:trPr>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Split payment (partial by points) </w:t>
            </w:r>
          </w:p>
        </w:tc>
        <w:tc>
          <w:tcPr>
            <w:tcW w:w="566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Only cash component counted in spend summary</w:t>
            </w:r>
          </w:p>
        </w:tc>
      </w:tr>
      <w:tr>
        <w:trPr>
          <w:trHeight w:val="440" w:hRule="auto"/>
          <w:jc w:val="left"/>
        </w:trPr>
        <w:tc>
          <w:tcPr>
            <w:tcW w:w="36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Cancelled transaction not reversed </w:t>
            </w:r>
          </w:p>
        </w:tc>
        <w:tc>
          <w:tcPr>
            <w:tcW w:w="566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Excluded from summary once cancellation confirmed by merchant</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40"/>
        <w:ind w:right="596" w:left="0" w:firstLine="0"/>
        <w:jc w:val="left"/>
        <w:rPr>
          <w:rFonts w:ascii="Arial" w:hAnsi="Arial" w:cs="Arial" w:eastAsia="Arial"/>
          <w:b/>
          <w:color w:val="1F3864"/>
          <w:spacing w:val="0"/>
          <w:position w:val="0"/>
          <w:sz w:val="40"/>
          <w:u w:val="single"/>
          <w:shd w:fill="auto" w:val="clear"/>
        </w:rPr>
      </w:pPr>
      <w:r>
        <w:rPr>
          <w:rFonts w:ascii="Arial" w:hAnsi="Arial" w:cs="Arial" w:eastAsia="Arial"/>
          <w:color w:val="000000"/>
          <w:spacing w:val="0"/>
          <w:position w:val="0"/>
          <w:sz w:val="18"/>
          <w:u w:val="single"/>
          <w:shd w:fill="auto" w:val="clear"/>
        </w:rPr>
        <w:t xml:space="preserve"> </w:t>
      </w:r>
      <w:r>
        <w:rPr>
          <w:rFonts w:ascii="Arial" w:hAnsi="Arial" w:cs="Arial" w:eastAsia="Arial"/>
          <w:color w:val="auto"/>
          <w:spacing w:val="0"/>
          <w:position w:val="0"/>
          <w:sz w:val="18"/>
          <w:shd w:fill="auto" w:val="clear"/>
        </w:rPr>
        <w:tab/>
      </w:r>
      <w:r>
        <w:rPr>
          <w:rFonts w:ascii="Arial" w:hAnsi="Arial" w:cs="Arial" w:eastAsia="Arial"/>
          <w:b/>
          <w:color w:val="1F3864"/>
          <w:spacing w:val="0"/>
          <w:position w:val="0"/>
          <w:sz w:val="40"/>
          <w:u w:val="single"/>
          <w:shd w:fill="auto" w:val="clear"/>
        </w:rPr>
        <w:t xml:space="preserve">SECTION 7: CREDIT LIMIT MANAGEMENT </w:t>
      </w:r>
    </w:p>
    <w:p>
      <w:pPr>
        <w:spacing w:before="313" w:after="0" w:line="240"/>
        <w:ind w:right="0" w:left="844"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7.1 Credit Limit Types</w:t>
      </w:r>
    </w:p>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000000"/>
          <w:spacing w:val="0"/>
          <w:position w:val="0"/>
          <w:sz w:val="22"/>
          <w:u w:val="single"/>
          <w:shd w:fill="auto" w:val="clear"/>
        </w:rPr>
      </w:pPr>
    </w:p>
    <w:tbl>
      <w:tblPr>
        <w:tblInd w:w="850" w:type="dxa"/>
      </w:tblPr>
      <w:tblGrid>
        <w:gridCol w:w="2834"/>
        <w:gridCol w:w="6519"/>
      </w:tblGrid>
      <w:tr>
        <w:trPr>
          <w:trHeight w:val="440" w:hRule="auto"/>
          <w:jc w:val="left"/>
        </w:trPr>
        <w:tc>
          <w:tcPr>
            <w:tcW w:w="283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shd w:fill="auto" w:val="clear"/>
              </w:rPr>
              <w:t xml:space="preserve">Limit Type </w:t>
            </w:r>
          </w:p>
        </w:tc>
        <w:tc>
          <w:tcPr>
            <w:tcW w:w="6519"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shd w:fill="auto" w:val="clear"/>
              </w:rPr>
              <w:t xml:space="preserve">Definition</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Total Credit Limit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Maximum outstanding allowed on the card at any time</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Available Credit Limit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Total Limit minus current outstanding balance</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Cash Limit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20% of total credit limit (usable for cash advances)</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Available Cash Limit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Cash Limit minus cash advances already drawn</w:t>
            </w:r>
          </w:p>
        </w:tc>
      </w:tr>
      <w:tr>
        <w:trPr>
          <w:trHeight w:val="440" w:hRule="auto"/>
          <w:jc w:val="left"/>
        </w:trPr>
        <w:tc>
          <w:tcPr>
            <w:tcW w:w="283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International Limit </w:t>
            </w:r>
          </w:p>
        </w:tc>
        <w:tc>
          <w:tcPr>
            <w:tcW w:w="6519"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Sub-limit for foreign currency transactions (default = Total Limit)</w:t>
            </w: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40"/>
        <w:ind w:right="0" w:left="844"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7.2 Credit Limit Enhancement </w:t>
      </w:r>
    </w:p>
    <w:p>
      <w:pPr>
        <w:spacing w:before="159" w:after="0" w:line="279"/>
        <w:ind w:right="1070" w:left="1154" w:hanging="11"/>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Customers may request a limit increase after 6 months of card usage with a clean repayment track record. </w:t>
      </w:r>
    </w:p>
    <w:p>
      <w:pPr>
        <w:spacing w:before="73" w:after="0" w:line="279"/>
        <w:ind w:right="1527" w:left="1151" w:hanging="9"/>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Auto limit enhancement offered to eligible customers (CIBIL </w:t>
      </w:r>
      <w:r>
        <w:rPr>
          <w:rFonts w:ascii="Cambria Math" w:hAnsi="Cambria Math" w:cs="Cambria Math" w:eastAsia="Cambria Math"/>
          <w:color w:val="000000"/>
          <w:spacing w:val="0"/>
          <w:position w:val="0"/>
          <w:sz w:val="20"/>
          <w:u w:val="single"/>
          <w:shd w:fill="auto" w:val="clear"/>
        </w:rPr>
        <w:t xml:space="preserve">≥</w:t>
      </w:r>
      <w:r>
        <w:rPr>
          <w:rFonts w:ascii="Noto Sans Symbols" w:hAnsi="Noto Sans Symbols" w:cs="Noto Sans Symbols" w:eastAsia="Noto Sans Symbols"/>
          <w:color w:val="000000"/>
          <w:spacing w:val="0"/>
          <w:position w:val="0"/>
          <w:sz w:val="20"/>
          <w:u w:val="single"/>
          <w:shd w:fill="auto" w:val="clear"/>
        </w:rPr>
        <w:t xml:space="preserve"> </w:t>
      </w:r>
      <w:r>
        <w:rPr>
          <w:rFonts w:ascii="Arial" w:hAnsi="Arial" w:cs="Arial" w:eastAsia="Arial"/>
          <w:color w:val="000000"/>
          <w:spacing w:val="0"/>
          <w:position w:val="0"/>
          <w:sz w:val="20"/>
          <w:u w:val="single"/>
          <w:shd w:fill="auto" w:val="clear"/>
        </w:rPr>
        <w:t xml:space="preserve">750, no missed payments in 12 months). </w:t>
      </w:r>
    </w:p>
    <w:p>
      <w:pPr>
        <w:spacing w:before="73" w:after="0" w:line="240"/>
        <w:ind w:right="0" w:left="1142"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Limit increase requires fresh income proof if enhancement exceeds 50% of current limit. </w:t>
      </w:r>
    </w:p>
    <w:p>
      <w:pPr>
        <w:spacing w:before="106" w:after="0" w:line="240"/>
        <w:ind w:right="0" w:left="1142" w:firstLine="0"/>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Temporary limit enhancement available for travel or wedding spend </w:t>
      </w:r>
      <w:r>
        <w:rPr>
          <w:rFonts w:ascii="Arial" w:hAnsi="Arial" w:cs="Arial" w:eastAsia="Arial"/>
          <w:color w:val="000000"/>
          <w:spacing w:val="0"/>
          <w:position w:val="0"/>
          <w:sz w:val="20"/>
          <w:u w:val="single"/>
          <w:shd w:fill="auto" w:val="clear"/>
        </w:rPr>
        <w:t xml:space="preserve">—</w:t>
      </w:r>
      <w:r>
        <w:rPr>
          <w:rFonts w:ascii="Arial" w:hAnsi="Arial" w:cs="Arial" w:eastAsia="Arial"/>
          <w:color w:val="000000"/>
          <w:spacing w:val="0"/>
          <w:position w:val="0"/>
          <w:sz w:val="20"/>
          <w:u w:val="single"/>
          <w:shd w:fill="auto" w:val="clear"/>
        </w:rPr>
        <w:t xml:space="preserve"> valid up to 60 days. </w:t>
      </w:r>
    </w:p>
    <w:p>
      <w:pPr>
        <w:spacing w:before="346" w:after="0" w:line="240"/>
        <w:ind w:right="0" w:left="0" w:firstLine="0"/>
        <w:jc w:val="center"/>
        <w:rPr>
          <w:rFonts w:ascii="Arial" w:hAnsi="Arial" w:cs="Arial" w:eastAsia="Arial"/>
          <w:b/>
          <w:color w:val="1F3864"/>
          <w:spacing w:val="0"/>
          <w:position w:val="0"/>
          <w:sz w:val="40"/>
          <w:shd w:fill="auto" w:val="clear"/>
        </w:rPr>
      </w:pPr>
    </w:p>
    <w:p>
      <w:pPr>
        <w:spacing w:before="346" w:after="0" w:line="240"/>
        <w:ind w:right="0" w:left="0" w:firstLine="0"/>
        <w:jc w:val="center"/>
        <w:rPr>
          <w:rFonts w:ascii="Arial" w:hAnsi="Arial" w:cs="Arial" w:eastAsia="Arial"/>
          <w:b/>
          <w:color w:val="1F3864"/>
          <w:spacing w:val="0"/>
          <w:position w:val="0"/>
          <w:sz w:val="40"/>
          <w:u w:val="single"/>
          <w:shd w:fill="auto" w:val="clear"/>
        </w:rPr>
      </w:pPr>
      <w:r>
        <w:rPr>
          <w:rFonts w:ascii="Arial" w:hAnsi="Arial" w:cs="Arial" w:eastAsia="Arial"/>
          <w:b/>
          <w:color w:val="1F3864"/>
          <w:spacing w:val="0"/>
          <w:position w:val="0"/>
          <w:sz w:val="40"/>
          <w:u w:val="single"/>
          <w:shd w:fill="auto" w:val="clear"/>
        </w:rPr>
        <w:t xml:space="preserve">SECTION 8: SAMPLE CUSTOMER SCENARIOS </w:t>
      </w:r>
    </w:p>
    <w:p>
      <w:pPr>
        <w:spacing w:before="313" w:after="0" w:line="240"/>
        <w:ind w:right="0" w:left="846" w:firstLine="0"/>
        <w:jc w:val="left"/>
        <w:rPr>
          <w:rFonts w:ascii="Arial" w:hAnsi="Arial" w:cs="Arial" w:eastAsia="Arial"/>
          <w:b/>
          <w:color w:val="1F3864"/>
          <w:spacing w:val="0"/>
          <w:position w:val="0"/>
          <w:sz w:val="24"/>
          <w:shd w:fill="auto" w:val="clear"/>
        </w:rPr>
      </w:pPr>
    </w:p>
    <w:p>
      <w:pPr>
        <w:spacing w:before="313" w:after="0" w:line="240"/>
        <w:ind w:right="0" w:left="846" w:firstLine="0"/>
        <w:jc w:val="left"/>
        <w:rPr>
          <w:rFonts w:ascii="Arial" w:hAnsi="Arial" w:cs="Arial" w:eastAsia="Arial"/>
          <w:b/>
          <w:color w:val="1F3864"/>
          <w:spacing w:val="0"/>
          <w:position w:val="0"/>
          <w:sz w:val="24"/>
          <w:u w:val="single"/>
          <w:shd w:fill="auto" w:val="clear"/>
        </w:rPr>
      </w:pPr>
      <w:r>
        <w:rPr>
          <w:rFonts w:ascii="Arial" w:hAnsi="Arial" w:cs="Arial" w:eastAsia="Arial"/>
          <w:b/>
          <w:color w:val="1F3864"/>
          <w:spacing w:val="0"/>
          <w:position w:val="0"/>
          <w:sz w:val="24"/>
          <w:u w:val="single"/>
          <w:shd w:fill="auto" w:val="clear"/>
        </w:rPr>
        <w:t xml:space="preserve">8.1 Scenario Library for Spend Summarizer Testing </w:t>
      </w:r>
    </w:p>
    <w:p>
      <w:pPr>
        <w:spacing w:before="159" w:after="0" w:line="299"/>
        <w:ind w:right="813" w:left="846" w:hanging="5"/>
        <w:jc w:val="left"/>
        <w:rPr>
          <w:rFonts w:ascii="Arial" w:hAnsi="Arial" w:cs="Arial" w:eastAsia="Arial"/>
          <w:color w:val="000000"/>
          <w:spacing w:val="0"/>
          <w:position w:val="0"/>
          <w:sz w:val="20"/>
          <w:u w:val="single"/>
          <w:shd w:fill="auto" w:val="clear"/>
        </w:rPr>
      </w:pPr>
      <w:r>
        <w:rPr>
          <w:rFonts w:ascii="Arial" w:hAnsi="Arial" w:cs="Arial" w:eastAsia="Arial"/>
          <w:color w:val="000000"/>
          <w:spacing w:val="0"/>
          <w:position w:val="0"/>
          <w:sz w:val="20"/>
          <w:u w:val="single"/>
          <w:shd w:fill="auto" w:val="clear"/>
        </w:rPr>
        <w:t xml:space="preserve">The following scenarios are provided to help trainees test their spend summariser with realistic inputs and expected outputs. </w:t>
      </w:r>
    </w:p>
    <w:p>
      <w:pPr>
        <w:spacing w:before="416" w:after="0" w:line="240"/>
        <w:ind w:right="0" w:left="847" w:firstLine="0"/>
        <w:jc w:val="left"/>
        <w:rPr>
          <w:rFonts w:ascii="Arial" w:hAnsi="Arial" w:cs="Arial" w:eastAsia="Arial"/>
          <w:b/>
          <w:color w:val="2E74B5"/>
          <w:spacing w:val="0"/>
          <w:position w:val="0"/>
          <w:sz w:val="22"/>
          <w:u w:val="single"/>
          <w:shd w:fill="auto" w:val="clear"/>
        </w:rPr>
      </w:pPr>
      <w:r>
        <w:rPr>
          <w:rFonts w:ascii="Arial" w:hAnsi="Arial" w:cs="Arial" w:eastAsia="Arial"/>
          <w:b/>
          <w:color w:val="2E74B5"/>
          <w:spacing w:val="0"/>
          <w:position w:val="0"/>
          <w:sz w:val="22"/>
          <w:u w:val="single"/>
          <w:shd w:fill="auto" w:val="clear"/>
        </w:rPr>
        <w:t xml:space="preserve">Scenario A </w:t>
      </w:r>
      <w:r>
        <w:rPr>
          <w:rFonts w:ascii="Arial" w:hAnsi="Arial" w:cs="Arial" w:eastAsia="Arial"/>
          <w:b/>
          <w:color w:val="2E74B5"/>
          <w:spacing w:val="0"/>
          <w:position w:val="0"/>
          <w:sz w:val="22"/>
          <w:u w:val="single"/>
          <w:shd w:fill="auto" w:val="clear"/>
        </w:rPr>
        <w:t xml:space="preserve">—</w:t>
      </w:r>
      <w:r>
        <w:rPr>
          <w:rFonts w:ascii="Arial" w:hAnsi="Arial" w:cs="Arial" w:eastAsia="Arial"/>
          <w:b/>
          <w:color w:val="2E74B5"/>
          <w:spacing w:val="0"/>
          <w:position w:val="0"/>
          <w:sz w:val="22"/>
          <w:u w:val="single"/>
          <w:shd w:fill="auto" w:val="clear"/>
        </w:rPr>
        <w:t xml:space="preserve"> Heavy Travel Month </w:t>
      </w:r>
    </w:p>
    <w:tbl>
      <w:tblPr/>
      <w:tblGrid>
        <w:gridCol w:w="1700"/>
        <w:gridCol w:w="1417"/>
        <w:gridCol w:w="2551"/>
        <w:gridCol w:w="1700"/>
        <w:gridCol w:w="1984"/>
        <w:gridCol w:w="1700"/>
      </w:tblGrid>
      <w:tr>
        <w:trPr>
          <w:trHeight w:val="440" w:hRule="auto"/>
          <w:jc w:val="left"/>
        </w:trPr>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Account </w:t>
            </w:r>
          </w:p>
        </w:tc>
        <w:tc>
          <w:tcPr>
            <w:tcW w:w="141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Card </w:t>
            </w:r>
          </w:p>
        </w:tc>
        <w:tc>
          <w:tcPr>
            <w:tcW w:w="255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Billing Period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Total Spend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Top Category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1"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Intl Txns</w:t>
            </w:r>
          </w:p>
        </w:tc>
      </w:tr>
      <w:tr>
        <w:trPr>
          <w:trHeight w:val="440" w:hRule="auto"/>
          <w:jc w:val="left"/>
        </w:trPr>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CC-881001 </w:t>
            </w:r>
          </w:p>
        </w:tc>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Gold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Mar 1</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Mar 25, 2026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42,300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Travel (41%)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4"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2 (SGD + GBP)</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88"/>
        <w:ind w:right="847" w:left="1047" w:firstLine="0"/>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Expected summary: Travel dominates; flag international markup charges; reward multiplier applied on travel (2X for Gold). </w:t>
      </w:r>
    </w:p>
    <w:p>
      <w:pPr>
        <w:spacing w:before="0" w:after="0" w:line="288"/>
        <w:ind w:right="847" w:left="1047" w:firstLine="0"/>
        <w:jc w:val="left"/>
        <w:rPr>
          <w:rFonts w:ascii="Arial" w:hAnsi="Arial" w:cs="Arial" w:eastAsia="Arial"/>
          <w:color w:val="7F7F7F"/>
          <w:spacing w:val="0"/>
          <w:position w:val="0"/>
          <w:sz w:val="18"/>
          <w:shd w:fill="auto" w:val="clear"/>
        </w:rPr>
      </w:pPr>
    </w:p>
    <w:p>
      <w:pPr>
        <w:spacing w:before="373" w:after="0" w:line="240"/>
        <w:ind w:right="0" w:left="847" w:firstLine="0"/>
        <w:jc w:val="left"/>
        <w:rPr>
          <w:rFonts w:ascii="Arial" w:hAnsi="Arial" w:cs="Arial" w:eastAsia="Arial"/>
          <w:b/>
          <w:color w:val="2E74B5"/>
          <w:spacing w:val="0"/>
          <w:position w:val="0"/>
          <w:sz w:val="22"/>
          <w:u w:val="single"/>
          <w:shd w:fill="auto" w:val="clear"/>
        </w:rPr>
      </w:pPr>
      <w:r>
        <w:rPr>
          <w:rFonts w:ascii="Arial" w:hAnsi="Arial" w:cs="Arial" w:eastAsia="Arial"/>
          <w:b/>
          <w:color w:val="2E74B5"/>
          <w:spacing w:val="0"/>
          <w:position w:val="0"/>
          <w:sz w:val="22"/>
          <w:u w:val="single"/>
          <w:shd w:fill="auto" w:val="clear"/>
        </w:rPr>
        <w:t xml:space="preserve">Scenario B </w:t>
      </w:r>
      <w:r>
        <w:rPr>
          <w:rFonts w:ascii="Arial" w:hAnsi="Arial" w:cs="Arial" w:eastAsia="Arial"/>
          <w:b/>
          <w:color w:val="2E74B5"/>
          <w:spacing w:val="0"/>
          <w:position w:val="0"/>
          <w:sz w:val="22"/>
          <w:u w:val="single"/>
          <w:shd w:fill="auto" w:val="clear"/>
        </w:rPr>
        <w:t xml:space="preserve">—</w:t>
      </w:r>
      <w:r>
        <w:rPr>
          <w:rFonts w:ascii="Arial" w:hAnsi="Arial" w:cs="Arial" w:eastAsia="Arial"/>
          <w:b/>
          <w:color w:val="2E74B5"/>
          <w:spacing w:val="0"/>
          <w:position w:val="0"/>
          <w:sz w:val="22"/>
          <w:u w:val="single"/>
          <w:shd w:fill="auto" w:val="clear"/>
        </w:rPr>
        <w:t xml:space="preserve"> Routine Monthly Spend </w:t>
      </w:r>
    </w:p>
    <w:tbl>
      <w:tblPr/>
      <w:tblGrid>
        <w:gridCol w:w="1700"/>
        <w:gridCol w:w="1417"/>
        <w:gridCol w:w="2551"/>
        <w:gridCol w:w="1700"/>
        <w:gridCol w:w="1984"/>
        <w:gridCol w:w="1700"/>
      </w:tblGrid>
      <w:tr>
        <w:trPr>
          <w:trHeight w:val="440" w:hRule="auto"/>
          <w:jc w:val="left"/>
        </w:trPr>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Account </w:t>
            </w:r>
          </w:p>
        </w:tc>
        <w:tc>
          <w:tcPr>
            <w:tcW w:w="141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Card </w:t>
            </w:r>
          </w:p>
        </w:tc>
        <w:tc>
          <w:tcPr>
            <w:tcW w:w="2551"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Billing Period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Total Spend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Top Category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1"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Intl Txns</w:t>
            </w:r>
          </w:p>
        </w:tc>
      </w:tr>
      <w:tr>
        <w:trPr>
          <w:trHeight w:val="440" w:hRule="auto"/>
          <w:jc w:val="left"/>
        </w:trPr>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CC-882001 </w:t>
            </w:r>
          </w:p>
        </w:tc>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5"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Platinum </w:t>
            </w:r>
          </w:p>
        </w:tc>
        <w:tc>
          <w:tcPr>
            <w:tcW w:w="255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Mar 1</w:t>
            </w:r>
            <w:r>
              <w:rPr>
                <w:rFonts w:ascii="Arial" w:hAnsi="Arial" w:cs="Arial" w:eastAsia="Arial"/>
                <w:color w:val="000000"/>
                <w:spacing w:val="0"/>
                <w:position w:val="0"/>
                <w:sz w:val="18"/>
                <w:u w:val="single"/>
                <w:shd w:fill="auto" w:val="clear"/>
              </w:rPr>
              <w:t xml:space="preserve">–</w:t>
            </w:r>
            <w:r>
              <w:rPr>
                <w:rFonts w:ascii="Arial" w:hAnsi="Arial" w:cs="Arial" w:eastAsia="Arial"/>
                <w:color w:val="000000"/>
                <w:spacing w:val="0"/>
                <w:position w:val="0"/>
                <w:sz w:val="18"/>
                <w:u w:val="single"/>
                <w:shd w:fill="auto" w:val="clear"/>
              </w:rPr>
              <w:t xml:space="preserve">Mar 25, 2026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28,700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8"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Shopping (35%)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None</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88"/>
        <w:ind w:right="839" w:left="1049" w:firstLine="5"/>
        <w:jc w:val="left"/>
        <w:rPr>
          <w:rFonts w:ascii="Arial" w:hAnsi="Arial" w:cs="Arial" w:eastAsia="Arial"/>
          <w:color w:val="7F7F7F"/>
          <w:spacing w:val="0"/>
          <w:position w:val="0"/>
          <w:sz w:val="18"/>
          <w:u w:val="single"/>
          <w:shd w:fill="auto" w:val="clear"/>
        </w:rPr>
      </w:pPr>
      <w:r>
        <w:rPr>
          <w:rFonts w:ascii="Arial" w:hAnsi="Arial" w:cs="Arial" w:eastAsia="Arial"/>
          <w:color w:val="7F7F7F"/>
          <w:spacing w:val="0"/>
          <w:position w:val="0"/>
          <w:sz w:val="18"/>
          <w:u w:val="single"/>
          <w:shd w:fill="auto" w:val="clear"/>
        </w:rPr>
        <w:t xml:space="preserve">Expected summary: No unusual patterns; reward points 3X on dining category; EMI conversion eligible for </w:t>
      </w:r>
      <w:r>
        <w:rPr>
          <w:rFonts w:ascii="Arial" w:hAnsi="Arial" w:cs="Arial" w:eastAsia="Arial"/>
          <w:color w:val="7F7F7F"/>
          <w:spacing w:val="0"/>
          <w:position w:val="0"/>
          <w:sz w:val="18"/>
          <w:shd w:fill="auto" w:val="clear"/>
        </w:rPr>
        <w:t xml:space="preserve">Rs. </w:t>
      </w:r>
      <w:r>
        <w:rPr>
          <w:rFonts w:ascii="Arial" w:hAnsi="Arial" w:cs="Arial" w:eastAsia="Arial"/>
          <w:color w:val="7F7F7F"/>
          <w:spacing w:val="0"/>
          <w:position w:val="0"/>
          <w:sz w:val="18"/>
          <w:u w:val="single"/>
          <w:shd w:fill="auto" w:val="clear"/>
        </w:rPr>
        <w:t xml:space="preserve">12,000 purchase. </w:t>
      </w: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5"/>
        <w:jc w:val="left"/>
        <w:rPr>
          <w:rFonts w:ascii="Arial" w:hAnsi="Arial" w:cs="Arial" w:eastAsia="Arial"/>
          <w:color w:val="7F7F7F"/>
          <w:spacing w:val="0"/>
          <w:position w:val="0"/>
          <w:sz w:val="18"/>
          <w:shd w:fill="auto" w:val="clear"/>
        </w:rPr>
      </w:pPr>
    </w:p>
    <w:p>
      <w:pPr>
        <w:spacing w:before="0" w:after="0" w:line="288"/>
        <w:ind w:right="839" w:left="1049" w:firstLine="0"/>
        <w:jc w:val="left"/>
        <w:rPr>
          <w:rFonts w:ascii="Arial" w:hAnsi="Arial" w:cs="Arial" w:eastAsia="Arial"/>
          <w:color w:val="7F7F7F"/>
          <w:spacing w:val="0"/>
          <w:position w:val="0"/>
          <w:sz w:val="18"/>
          <w:shd w:fill="auto" w:val="clear"/>
        </w:rPr>
      </w:pPr>
    </w:p>
    <w:p>
      <w:pPr>
        <w:spacing w:before="0" w:after="0" w:line="288"/>
        <w:ind w:right="839" w:left="1049" w:firstLine="0"/>
        <w:jc w:val="left"/>
        <w:rPr>
          <w:rFonts w:ascii="Arial" w:hAnsi="Arial" w:cs="Arial" w:eastAsia="Arial"/>
          <w:color w:val="7F7F7F"/>
          <w:spacing w:val="0"/>
          <w:position w:val="0"/>
          <w:sz w:val="18"/>
          <w:shd w:fill="auto" w:val="clear"/>
        </w:rPr>
      </w:pPr>
    </w:p>
    <w:p>
      <w:pPr>
        <w:spacing w:before="373" w:after="0" w:line="240"/>
        <w:ind w:right="0" w:left="847" w:firstLine="0"/>
        <w:jc w:val="left"/>
        <w:rPr>
          <w:rFonts w:ascii="Arial" w:hAnsi="Arial" w:cs="Arial" w:eastAsia="Arial"/>
          <w:b/>
          <w:color w:val="2E74B5"/>
          <w:spacing w:val="0"/>
          <w:position w:val="0"/>
          <w:sz w:val="22"/>
          <w:u w:val="single"/>
          <w:shd w:fill="auto" w:val="clear"/>
        </w:rPr>
      </w:pPr>
      <w:r>
        <w:rPr>
          <w:rFonts w:ascii="Arial" w:hAnsi="Arial" w:cs="Arial" w:eastAsia="Arial"/>
          <w:b/>
          <w:color w:val="2E74B5"/>
          <w:spacing w:val="0"/>
          <w:position w:val="0"/>
          <w:sz w:val="22"/>
          <w:u w:val="single"/>
          <w:shd w:fill="auto" w:val="clear"/>
        </w:rPr>
        <w:t xml:space="preserve">Scenario C </w:t>
      </w:r>
      <w:r>
        <w:rPr>
          <w:rFonts w:ascii="Arial" w:hAnsi="Arial" w:cs="Arial" w:eastAsia="Arial"/>
          <w:b/>
          <w:color w:val="2E74B5"/>
          <w:spacing w:val="0"/>
          <w:position w:val="0"/>
          <w:sz w:val="22"/>
          <w:u w:val="single"/>
          <w:shd w:fill="auto" w:val="clear"/>
        </w:rPr>
        <w:t xml:space="preserve">—</w:t>
      </w:r>
      <w:r>
        <w:rPr>
          <w:rFonts w:ascii="Arial" w:hAnsi="Arial" w:cs="Arial" w:eastAsia="Arial"/>
          <w:b/>
          <w:color w:val="2E74B5"/>
          <w:spacing w:val="0"/>
          <w:position w:val="0"/>
          <w:sz w:val="22"/>
          <w:u w:val="single"/>
          <w:shd w:fill="auto" w:val="clear"/>
        </w:rPr>
        <w:t xml:space="preserve"> Low Spend / Near Fee Waiver Threshold </w:t>
      </w:r>
    </w:p>
    <w:tbl>
      <w:tblPr/>
      <w:tblGrid>
        <w:gridCol w:w="1700"/>
        <w:gridCol w:w="1417"/>
        <w:gridCol w:w="1984"/>
        <w:gridCol w:w="2267"/>
        <w:gridCol w:w="1700"/>
        <w:gridCol w:w="1984"/>
      </w:tblGrid>
      <w:tr>
        <w:trPr>
          <w:trHeight w:val="440" w:hRule="auto"/>
          <w:jc w:val="left"/>
        </w:trPr>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Account </w:t>
            </w:r>
          </w:p>
        </w:tc>
        <w:tc>
          <w:tcPr>
            <w:tcW w:w="141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Card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5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YTD Spend </w:t>
            </w:r>
          </w:p>
        </w:tc>
        <w:tc>
          <w:tcPr>
            <w:tcW w:w="2267"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Fee Waiver Target </w:t>
            </w:r>
          </w:p>
        </w:tc>
        <w:tc>
          <w:tcPr>
            <w:tcW w:w="1700"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3"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Remaining </w:t>
            </w:r>
          </w:p>
        </w:tc>
        <w:tc>
          <w:tcPr>
            <w:tcW w:w="1984" w:type="dxa"/>
            <w:tcBorders>
              <w:top w:val="single" w:color="000000" w:sz="8"/>
              <w:left w:val="single" w:color="000000" w:sz="8"/>
              <w:bottom w:val="single" w:color="000000" w:sz="8"/>
              <w:right w:val="single" w:color="000000" w:sz="8"/>
            </w:tcBorders>
            <w:shd w:color="000000" w:fill="2e74b5" w:val="clear"/>
            <w:tcMar>
              <w:left w:w="100" w:type="dxa"/>
              <w:right w:w="100" w:type="dxa"/>
            </w:tcMar>
            <w:vAlign w:val="top"/>
          </w:tcPr>
          <w:p>
            <w:pPr>
              <w:spacing w:before="0" w:after="0" w:line="240"/>
              <w:ind w:right="0" w:left="162" w:firstLine="0"/>
              <w:jc w:val="left"/>
              <w:rPr>
                <w:spacing w:val="0"/>
                <w:position w:val="0"/>
                <w:shd w:fill="auto" w:val="clear"/>
              </w:rPr>
            </w:pPr>
            <w:r>
              <w:rPr>
                <w:rFonts w:ascii="Arial" w:hAnsi="Arial" w:cs="Arial" w:eastAsia="Arial"/>
                <w:b/>
                <w:color w:val="FFFFFF"/>
                <w:spacing w:val="0"/>
                <w:position w:val="0"/>
                <w:sz w:val="18"/>
                <w:u w:val="single"/>
                <w:shd w:fill="auto" w:val="clear"/>
              </w:rPr>
              <w:t xml:space="preserve">Months Left</w:t>
            </w:r>
          </w:p>
        </w:tc>
      </w:tr>
      <w:tr>
        <w:trPr>
          <w:trHeight w:val="440" w:hRule="auto"/>
          <w:jc w:val="left"/>
        </w:trPr>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CC-883001 </w:t>
            </w:r>
          </w:p>
        </w:tc>
        <w:tc>
          <w:tcPr>
            <w:tcW w:w="141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7"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Classic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38,200 </w:t>
            </w:r>
          </w:p>
        </w:tc>
        <w:tc>
          <w:tcPr>
            <w:tcW w:w="2267"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50,000 </w:t>
            </w:r>
          </w:p>
        </w:tc>
        <w:tc>
          <w:tcPr>
            <w:tcW w:w="17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auto"/>
                <w:spacing w:val="0"/>
                <w:position w:val="0"/>
                <w:sz w:val="18"/>
                <w:shd w:fill="auto" w:val="clear"/>
              </w:rPr>
              <w:t xml:space="preserve">Rs. </w:t>
            </w:r>
            <w:r>
              <w:rPr>
                <w:rFonts w:ascii="Arial" w:hAnsi="Arial" w:cs="Arial" w:eastAsia="Arial"/>
                <w:color w:val="000000"/>
                <w:spacing w:val="0"/>
                <w:position w:val="0"/>
                <w:sz w:val="18"/>
                <w:u w:val="single"/>
                <w:shd w:fill="auto" w:val="clear"/>
              </w:rPr>
              <w:t xml:space="preserve">11,800 </w:t>
            </w:r>
          </w:p>
        </w:tc>
        <w:tc>
          <w:tcPr>
            <w:tcW w:w="1984"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156" w:firstLine="0"/>
              <w:jc w:val="left"/>
              <w:rPr>
                <w:spacing w:val="0"/>
                <w:position w:val="0"/>
                <w:shd w:fill="auto" w:val="clear"/>
              </w:rPr>
            </w:pPr>
            <w:r>
              <w:rPr>
                <w:rFonts w:ascii="Arial" w:hAnsi="Arial" w:cs="Arial" w:eastAsia="Arial"/>
                <w:color w:val="000000"/>
                <w:spacing w:val="0"/>
                <w:position w:val="0"/>
                <w:sz w:val="18"/>
                <w:u w:val="single"/>
                <w:shd w:fill="auto" w:val="clear"/>
              </w:rPr>
              <w:t xml:space="preserve">3 months</w:t>
            </w:r>
          </w:p>
        </w:tc>
      </w:tr>
    </w:tbl>
    <w:p>
      <w:pPr>
        <w:spacing w:before="0" w:after="0" w:line="276"/>
        <w:ind w:right="0" w:left="0" w:firstLine="0"/>
        <w:jc w:val="left"/>
        <w:rPr>
          <w:rFonts w:ascii="Arial" w:hAnsi="Arial" w:cs="Arial" w:eastAsia="Arial"/>
          <w:color w:val="000000"/>
          <w:spacing w:val="0"/>
          <w:position w:val="0"/>
          <w:sz w:val="22"/>
          <w:u w:val="single"/>
          <w:shd w:fill="auto" w:val="clear"/>
        </w:rPr>
      </w:pPr>
    </w:p>
    <w:p>
      <w:pPr>
        <w:spacing w:before="0" w:after="0" w:line="276"/>
        <w:ind w:right="0" w:left="0" w:firstLine="0"/>
        <w:jc w:val="left"/>
        <w:rPr>
          <w:rFonts w:ascii="Arial" w:hAnsi="Arial" w:cs="Arial" w:eastAsia="Arial"/>
          <w:color w:val="666666"/>
          <w:spacing w:val="0"/>
          <w:position w:val="0"/>
          <w:sz w:val="20"/>
          <w:shd w:fill="auto" w:val="clear"/>
        </w:rPr>
      </w:pPr>
      <w:r>
        <w:rPr>
          <w:rFonts w:ascii="Arial" w:hAnsi="Arial" w:cs="Arial" w:eastAsia="Arial"/>
          <w:color w:val="666666"/>
          <w:spacing w:val="0"/>
          <w:position w:val="0"/>
          <w:sz w:val="20"/>
          <w:shd w:fill="auto" w:val="clear"/>
        </w:rPr>
        <w:t xml:space="preserve">Expected summary: Alert customer they are Rs. 11,800 short of fee waiver threshold with 3 billing cycles remaining. </w:t>
      </w:r>
    </w:p>
    <w:p>
      <w:pPr>
        <w:spacing w:before="0" w:after="0" w:line="276"/>
        <w:ind w:right="0" w:left="0" w:firstLine="0"/>
        <w:jc w:val="left"/>
        <w:rPr>
          <w:rFonts w:ascii="Arial" w:hAnsi="Arial" w:cs="Arial" w:eastAsia="Arial"/>
          <w:color w:val="666666"/>
          <w:spacing w:val="0"/>
          <w:position w:val="0"/>
          <w:sz w:val="20"/>
          <w:shd w:fill="auto" w:val="clear"/>
        </w:rPr>
      </w:pPr>
    </w:p>
    <w:p>
      <w:pPr>
        <w:spacing w:before="0" w:after="0" w:line="276"/>
        <w:ind w:right="0" w:left="0" w:firstLine="0"/>
        <w:jc w:val="center"/>
        <w:rPr>
          <w:rFonts w:ascii="Arial" w:hAnsi="Arial" w:cs="Arial" w:eastAsia="Arial"/>
          <w:color w:val="666666"/>
          <w:spacing w:val="0"/>
          <w:position w:val="0"/>
          <w:sz w:val="20"/>
          <w:shd w:fill="auto" w:val="clear"/>
        </w:rPr>
      </w:pPr>
      <w:r>
        <w:rPr>
          <w:rFonts w:ascii="Arial" w:hAnsi="Arial" w:cs="Arial" w:eastAsia="Arial"/>
          <w:color w:val="666666"/>
          <w:spacing w:val="0"/>
          <w:position w:val="0"/>
          <w:sz w:val="20"/>
          <w:shd w:fill="auto" w:val="clear"/>
        </w:rPr>
        <w:t xml:space="preserve">NorthStar Bank · Credit Card Product Guide · Version 2.1 · April 2026 · Internal Use Only</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