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2E5A8A"/>
          <w:sz w:val="18"/>
          <w:szCs w:val="18"/>
        </w:rPr>
        <w:t xml:space="preserve">DEFINE · STAGE 02</w:t>
      </w:r>
    </w:p>
    <w:p>
      <w:pPr>
        <w:spacing w:after="80"/>
        <w:jc w:val="left"/>
      </w:pPr>
      <w:r>
        <w:rPr>
          <w:b/>
          <w:bCs/>
          <w:color w:val="1F3A5F"/>
          <w:sz w:val="36"/>
          <w:szCs w:val="36"/>
        </w:rPr>
        <w:t xml:space="preserve">Design FMEA — Steps 1 to 3, with DSM Coupling Analysis</w:t>
      </w:r>
    </w:p>
    <w:p>
      <w:pPr>
        <w:spacing w:after="280"/>
        <w:jc w:val="left"/>
      </w:pPr>
      <w:r>
        <w:rPr>
          <w:i/>
          <w:iCs/>
          <w:color w:val="404040"/>
          <w:sz w:val="24"/>
          <w:szCs w:val="24"/>
        </w:rPr>
        <w:t xml:space="preserve">Twin-Tank Atmospheric Water Heater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Document</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DFMEA Steps 1–3 with DSM Coupling Analysis</w:t>
            </w:r>
          </w:p>
        </w:tc>
      </w:tr>
      <w:tr>
        <w:tc>
          <w:tcPr>
            <w:tcW w:type="dxa" w:w="2340"/>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Product</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Twin-Tank Atmospheric Water Heater System</w:t>
            </w:r>
          </w:p>
        </w:tc>
      </w:tr>
      <w:tr>
        <w:tc>
          <w:tcPr>
            <w:tcW w:type="dxa" w:w="2340"/>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Stage</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Define (Stage 02 of 04) — pre-Gateway 2</w:t>
            </w:r>
          </w:p>
        </w:tc>
      </w:tr>
      <w:tr>
        <w:tc>
          <w:tcPr>
            <w:tcW w:type="dxa" w:w="2340"/>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Method</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AIAG-VDA 2019 FMEA Handbook, Steps 1–3 (Planning, Structure Analysis, Function Analysis)</w:t>
            </w:r>
          </w:p>
        </w:tc>
      </w:tr>
      <w:tr>
        <w:tc>
          <w:tcPr>
            <w:tcW w:type="dxa" w:w="2340"/>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Scope of this doc</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System- and subsystem-level analysis only. Component-level decomposition, Failure Analysis (Step 4), Risk Analysis (Step 5), Optimization (Step 6), and Documentation (Step 7) are handled in the Develop stage and tracked in the Integrated Tracker workbook.</w:t>
            </w:r>
          </w:p>
        </w:tc>
      </w:tr>
      <w:tr>
        <w:tc>
          <w:tcPr>
            <w:tcW w:type="dxa" w:w="2340"/>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Revision</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Rev A — Sample / Draft for Define-stage review</w:t>
            </w:r>
          </w:p>
        </w:tc>
      </w:tr>
      <w:tr>
        <w:tc>
          <w:tcPr>
            <w:tcW w:type="dxa" w:w="2340"/>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Status</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Step 1 complete · Step 2 complete · Step 3 first-pass (refinement TBD)</w:t>
            </w:r>
          </w:p>
        </w:tc>
      </w:tr>
    </w:tbl>
    <w:p>
      <w:r>
        <w:t xml:space="preserve"/>
      </w:r>
    </w:p>
    <w:p>
      <w:pPr>
        <w:pStyle w:val="Heading1"/>
      </w:pPr>
      <w:r>
        <w:t xml:space="preserve">1.  Step 1 — Planning &amp; Preparation</w:t>
      </w:r>
    </w:p>
    <w:p>
      <w:pPr>
        <w:spacing w:after="160"/>
      </w:pPr>
      <w:r>
        <w:t xml:space="preserve">Per AIAG-VDA 2019, Step 1 establishes the scope, intent, and team before any analysis begins. This section sets the InTent, Timing, Team, Task, and Tool boundaries (the '5T' approach) for the FMEA effort that follows.</w:t>
      </w:r>
    </w:p>
    <w:p>
      <w:pPr>
        <w:pStyle w:val="Heading2"/>
      </w:pPr>
      <w:r>
        <w:t xml:space="preserve">1.1  Scope and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Subject under analysis</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Twin-Tank Atmospheric Water Heater System — a domestic appliance that captures water from ambient humid air, heats and stores it across two tanks, and delivers hot water on demand. The system includes onboard sensing, embedded control, a mobile-app interface, and service-friendly access.</w:t>
            </w:r>
          </w:p>
        </w:tc>
      </w:tr>
      <w:tr>
        <w:tc>
          <w:tcPr>
            <w:tcW w:type="dxa" w:w="2340"/>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Project type</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New product development (Design FMEA, not Process FMEA)</w:t>
            </w:r>
          </w:p>
        </w:tc>
      </w:tr>
      <w:tr>
        <w:tc>
          <w:tcPr>
            <w:tcW w:type="dxa" w:w="2340"/>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FMEA type</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Design FMEA (DFMEA). A PFMEA will follow in manufacturing planning, out of scope here.</w:t>
            </w:r>
          </w:p>
        </w:tc>
      </w:tr>
      <w:tr>
        <w:tc>
          <w:tcPr>
            <w:tcW w:type="dxa" w:w="2340"/>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In scope</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 System boundary as defined in the Level 1 Boundary &amp; Interface Diagram</w:t>
            </w:r>
          </w:p>
          <w:p>
            <w:r>
              <w:rPr>
                <w:sz w:val="20"/>
                <w:szCs w:val="20"/>
              </w:rPr>
              <w:t xml:space="preserve">• All seven subsystems and the dependencies among them</w:t>
            </w:r>
          </w:p>
          <w:p>
            <w:r>
              <w:rPr>
                <w:sz w:val="20"/>
                <w:szCs w:val="20"/>
              </w:rPr>
              <w:t xml:space="preserve">• External interfaces: user, mobile app, service personnel, building/structure, regulatory compliance, ambient environment</w:t>
            </w:r>
          </w:p>
          <w:p>
            <w:r>
              <w:rPr>
                <w:sz w:val="20"/>
                <w:szCs w:val="20"/>
              </w:rPr>
              <w:t xml:space="preserve">• Subsystem-level functions and inter-subsystem function flows</w:t>
            </w:r>
          </w:p>
        </w:tc>
      </w:tr>
      <w:tr>
        <w:tc>
          <w:tcPr>
            <w:tcW w:type="dxa" w:w="2340"/>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Out of scope (this rev)</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 Component-level structure and function analysis (Develop stage)</w:t>
            </w:r>
          </w:p>
          <w:p>
            <w:r>
              <w:rPr>
                <w:sz w:val="20"/>
                <w:szCs w:val="20"/>
              </w:rPr>
              <w:t xml:space="preserve">• Failure modes, S/O/D scoring, Action Priority (Develop stage, AP-based)</w:t>
            </w:r>
          </w:p>
          <w:p>
            <w:r>
              <w:rPr>
                <w:sz w:val="20"/>
                <w:szCs w:val="20"/>
              </w:rPr>
              <w:t xml:space="preserve">• PFMEA, manufacturing/assembly risk</w:t>
            </w:r>
          </w:p>
          <w:p>
            <w:r>
              <w:rPr>
                <w:sz w:val="20"/>
                <w:szCs w:val="20"/>
              </w:rPr>
              <w:t xml:space="preserve">• Software FMEA (planned as a separate exercise)</w:t>
            </w:r>
          </w:p>
        </w:tc>
      </w:tr>
      <w:tr>
        <w:tc>
          <w:tcPr>
            <w:tcW w:type="dxa" w:w="2340"/>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Assumptions</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 System operates in a sheltered domestic installation (not direct outdoor exposure)</w:t>
            </w:r>
          </w:p>
          <w:p>
            <w:r>
              <w:rPr>
                <w:sz w:val="20"/>
                <w:szCs w:val="20"/>
              </w:rPr>
              <w:t xml:space="preserve">• Mains water available as make-up supply when atmospheric capture is insufficient</w:t>
            </w:r>
          </w:p>
          <w:p>
            <w:r>
              <w:rPr>
                <w:sz w:val="20"/>
                <w:szCs w:val="20"/>
              </w:rPr>
              <w:t xml:space="preserve">• Single user or single household; no multi-tenant or multi-property logic</w:t>
            </w:r>
          </w:p>
          <w:p>
            <w:r>
              <w:rPr>
                <w:sz w:val="20"/>
                <w:szCs w:val="20"/>
              </w:rPr>
              <w:t xml:space="preserve">• Bluetooth-only connectivity in Proto 1/2; cloud connectivity deferred</w:t>
            </w:r>
          </w:p>
        </w:tc>
      </w:tr>
      <w:tr>
        <w:tc>
          <w:tcPr>
            <w:tcW w:type="dxa" w:w="2340"/>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Lessons-learned input</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Field-failure patterns from conventional electric storage water heaters (relief-valve scale-up, anode corrosion, thermostat drift) and from atmospheric water generators (condenser fouling, condensate contamination). Used to seed Function Analysis and to bias attention during DSM review.</w:t>
            </w:r>
          </w:p>
        </w:tc>
      </w:tr>
      <w:tr>
        <w:tc>
          <w:tcPr>
            <w:tcW w:type="dxa" w:w="2340"/>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Success criteria for this FMEA</w:t>
            </w:r>
          </w:p>
        </w:tc>
        <w:tc>
          <w:tcPr>
            <w:tcW w:type="dxa" w:w="70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 Every subsystem function traceable to one or more PRD requirements</w:t>
            </w:r>
          </w:p>
          <w:p>
            <w:r>
              <w:rPr>
                <w:sz w:val="20"/>
                <w:szCs w:val="20"/>
              </w:rPr>
              <w:t xml:space="preserve">• DSM coupling map produces a prioritized cluster the Develop stage can act on</w:t>
            </w:r>
          </w:p>
          <w:p>
            <w:r>
              <w:rPr>
                <w:sz w:val="20"/>
                <w:szCs w:val="20"/>
              </w:rPr>
              <w:t xml:space="preserve">• Interfaces with high coupling are identified for early ICD (interface control document) lock</w:t>
            </w:r>
          </w:p>
        </w:tc>
      </w:tr>
    </w:tbl>
    <w:p>
      <w:r>
        <w:t xml:space="preserve"/>
      </w:r>
    </w:p>
    <w:p>
      <w:pPr>
        <w:pStyle w:val="Heading2"/>
      </w:pPr>
      <w:r>
        <w:t xml:space="preserve">1.2  Cross-functional team</w:t>
      </w:r>
    </w:p>
    <w:p>
      <w:pPr>
        <w:spacing w:after="160"/>
      </w:pPr>
      <w:r>
        <w:t xml:space="preserve">FMEA quality depends on cross-functional input. The team below covers all subsystem ownership areas so that Function Analysis and downstream Failure Analysis are not biased toward one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Role</w:t>
            </w:r>
          </w:p>
        </w:tc>
        <w:tc>
          <w:tcPr>
            <w:tcW w:type="dxa" w:w="351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Responsibility in this FMEA</w:t>
            </w:r>
          </w:p>
        </w:tc>
        <w:tc>
          <w:tcPr>
            <w:tcW w:type="dxa" w:w="351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Assignee</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FMEA Facilitator</w:t>
            </w:r>
          </w:p>
        </w:tc>
        <w:tc>
          <w:tcPr>
            <w:tcW w:type="dxa" w:w="351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Owns AIAG-VDA method discipline; runs working sessions; maintains the integrated tracker.</w:t>
            </w:r>
          </w:p>
        </w:tc>
        <w:tc>
          <w:tcPr>
            <w:tcW w:type="dxa" w:w="351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Product Owner (this portfolio)</w:t>
            </w:r>
          </w:p>
        </w:tc>
      </w:tr>
      <w:tr>
        <w:tc>
          <w:tcPr>
            <w:tcW w:type="dxa" w:w="234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Mechanical Lead</w:t>
            </w:r>
          </w:p>
        </w:tc>
        <w:tc>
          <w:tcPr>
            <w:tcW w:type="dxa" w:w="351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Tanks, pressure components, plumbing, enclosure, structural mounting.</w:t>
            </w:r>
          </w:p>
        </w:tc>
        <w:tc>
          <w:tcPr>
            <w:tcW w:type="dxa" w:w="351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TBD</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Electronics / Firmware Lead</w:t>
            </w:r>
          </w:p>
        </w:tc>
        <w:tc>
          <w:tcPr>
            <w:tcW w:type="dxa" w:w="351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Sensing, control, MCU, actuators, power, EMC, embedded firmware.</w:t>
            </w:r>
          </w:p>
        </w:tc>
        <w:tc>
          <w:tcPr>
            <w:tcW w:type="dxa" w:w="351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TBD</w:t>
            </w:r>
          </w:p>
        </w:tc>
      </w:tr>
      <w:tr>
        <w:tc>
          <w:tcPr>
            <w:tcW w:type="dxa" w:w="234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App / Connectivity Lead</w:t>
            </w:r>
          </w:p>
        </w:tc>
        <w:tc>
          <w:tcPr>
            <w:tcW w:type="dxa" w:w="351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Bluetooth stack, mobile app, user-facing notifications, OTA-deferred for now.</w:t>
            </w:r>
          </w:p>
        </w:tc>
        <w:tc>
          <w:tcPr>
            <w:tcW w:type="dxa" w:w="351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TBD</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Service &amp; Reliability</w:t>
            </w:r>
          </w:p>
        </w:tc>
        <w:tc>
          <w:tcPr>
            <w:tcW w:type="dxa" w:w="351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Access, serviceability, maintenance intervals, field-data feedback loop.</w:t>
            </w:r>
          </w:p>
        </w:tc>
        <w:tc>
          <w:tcPr>
            <w:tcW w:type="dxa" w:w="351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TBD</w:t>
            </w:r>
          </w:p>
        </w:tc>
      </w:tr>
      <w:tr>
        <w:tc>
          <w:tcPr>
            <w:tcW w:type="dxa" w:w="234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Quality / Compliance</w:t>
            </w:r>
          </w:p>
        </w:tc>
        <w:tc>
          <w:tcPr>
            <w:tcW w:type="dxa" w:w="351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Regulatory standards mapping (pressure vessel, electrical safety, potable water).</w:t>
            </w:r>
          </w:p>
        </w:tc>
        <w:tc>
          <w:tcPr>
            <w:tcW w:type="dxa" w:w="351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TBD</w:t>
            </w:r>
          </w:p>
        </w:tc>
      </w:tr>
    </w:tbl>
    <w:p>
      <w:r>
        <w:t xml:space="preserve"/>
      </w:r>
    </w:p>
    <w:p>
      <w:pPr>
        <w:pStyle w:val="Heading2"/>
      </w:pPr>
      <w:r>
        <w:t xml:space="preserve">1.3  Timing and review cadence</w:t>
      </w:r>
    </w:p>
    <w:p>
      <w:pPr>
        <w:spacing w:after="120"/>
      </w:pPr>
      <w:r>
        <w:t xml:space="preserve">Steps 1–3 are completed inside the Define stage and frozen at Gateway 2 (with PRD and final ID render). Steps 4–7 begin in the Develop stage and are tracked in the Integrated Tracker workbook on a Proto 1 → Proto 2 review cadence. Risk reductions for items rated AP = H must be either closed or formally deferred with documented rationale before any prototype design freeze.</w:t>
      </w:r>
    </w:p>
    <w:p>
      <w:r>
        <w:br w:type="page"/>
      </w:r>
    </w:p>
    <w:p>
      <w:pPr>
        <w:pStyle w:val="Heading1"/>
      </w:pPr>
      <w:r>
        <w:t xml:space="preserve">2.  Step 2 — Structure Analysis</w:t>
      </w:r>
    </w:p>
    <w:p>
      <w:pPr>
        <w:spacing w:after="160"/>
      </w:pPr>
      <w:r>
        <w:t xml:space="preserve">Structure Analysis decomposes the design into the levels at which Function Analysis (Step 3) and Failure Analysis (Step 4) will be applied. This document covers the system level and the subsystem level only; component-level structure is handled at the start of the Develop stage, informed by the DSM result in §2.3.</w:t>
      </w:r>
    </w:p>
    <w:p>
      <w:pPr>
        <w:pStyle w:val="Heading2"/>
      </w:pPr>
      <w:r>
        <w:t xml:space="preserve">2.1  System level — boundary, inputs, outputs, external interfaces</w:t>
      </w:r>
    </w:p>
    <w:p>
      <w:pPr>
        <w:spacing w:after="160"/>
      </w:pPr>
      <w:r>
        <w:t xml:space="preserve">At the system level, the analysis treats the water heater as a single block. The boundary diagram (referenced separately) defines what crosses into and out of the system. The tables below capture the same content in structured form.</w:t>
      </w:r>
    </w:p>
    <w:p>
      <w:pPr>
        <w:pStyle w:val="Heading3"/>
      </w:pPr>
      <w:r>
        <w:t xml:space="preserve">System inputs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808"/>
        <w:gridCol w:w="2808"/>
      </w:tblGrid>
      <w:tr>
        <w:tc>
          <w:tcPr>
            <w:tcW w:type="dxa" w:w="1872"/>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Direction</w:t>
            </w:r>
          </w:p>
        </w:tc>
        <w:tc>
          <w:tcPr>
            <w:tcW w:type="dxa" w:w="1872"/>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Type</w:t>
            </w:r>
          </w:p>
        </w:tc>
        <w:tc>
          <w:tcPr>
            <w:tcW w:type="dxa" w:w="2808"/>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Item</w:t>
            </w:r>
          </w:p>
        </w:tc>
        <w:tc>
          <w:tcPr>
            <w:tcW w:type="dxa" w:w="2808"/>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Notes</w:t>
            </w:r>
          </w:p>
        </w:tc>
      </w:tr>
      <w:tr>
        <w:tc>
          <w:tcPr>
            <w:tcW w:type="dxa" w:w="1872"/>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Input</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Material</w:t>
            </w:r>
          </w:p>
        </w:tc>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Atmospheric air (moist)</w:t>
            </w:r>
          </w:p>
        </w:tc>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Primary water source via condensation</w:t>
            </w:r>
          </w:p>
        </w:tc>
      </w:tr>
      <w:tr>
        <w:tc>
          <w:tcPr>
            <w:tcW w:type="dxa" w:w="1872"/>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Input</w:t>
            </w:r>
          </w:p>
        </w:tc>
        <w:tc>
          <w:tcPr>
            <w:tcW w:type="dxa" w:w="187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Material</w:t>
            </w:r>
          </w:p>
        </w:tc>
        <w:tc>
          <w:tcPr>
            <w:tcW w:type="dxa" w:w="280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Mains / make-up water</w:t>
            </w:r>
          </w:p>
        </w:tc>
        <w:tc>
          <w:tcPr>
            <w:tcW w:type="dxa" w:w="280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Secondary source when atmospheric yield insufficient</w:t>
            </w:r>
          </w:p>
        </w:tc>
      </w:tr>
      <w:tr>
        <w:tc>
          <w:tcPr>
            <w:tcW w:type="dxa" w:w="1872"/>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Input</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Energy</w:t>
            </w:r>
          </w:p>
        </w:tc>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Electrical power (AC)</w:t>
            </w:r>
          </w:p>
        </w:tc>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Heating, controls, pump, connectivity</w:t>
            </w:r>
          </w:p>
        </w:tc>
      </w:tr>
      <w:tr>
        <w:tc>
          <w:tcPr>
            <w:tcW w:type="dxa" w:w="1872"/>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Input</w:t>
            </w:r>
          </w:p>
        </w:tc>
        <w:tc>
          <w:tcPr>
            <w:tcW w:type="dxa" w:w="187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Energy</w:t>
            </w:r>
          </w:p>
        </w:tc>
        <w:tc>
          <w:tcPr>
            <w:tcW w:type="dxa" w:w="280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Solar (optional)</w:t>
            </w:r>
          </w:p>
        </w:tc>
        <w:tc>
          <w:tcPr>
            <w:tcW w:type="dxa" w:w="280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Future variant; not in baseline Proto 1/2</w:t>
            </w:r>
          </w:p>
        </w:tc>
      </w:tr>
      <w:tr>
        <w:tc>
          <w:tcPr>
            <w:tcW w:type="dxa" w:w="1872"/>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Input</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Information</w:t>
            </w:r>
          </w:p>
        </w:tc>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User commands / settings</w:t>
            </w:r>
          </w:p>
        </w:tc>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Via local display and mobile app</w:t>
            </w:r>
          </w:p>
        </w:tc>
      </w:tr>
      <w:tr>
        <w:tc>
          <w:tcPr>
            <w:tcW w:type="dxa" w:w="1872"/>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Output</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Material</w:t>
            </w:r>
          </w:p>
        </w:tc>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Hot water</w:t>
            </w:r>
          </w:p>
        </w:tc>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Primary deliverable to user</w:t>
            </w:r>
          </w:p>
        </w:tc>
      </w:tr>
      <w:tr>
        <w:tc>
          <w:tcPr>
            <w:tcW w:type="dxa" w:w="1872"/>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Output</w:t>
            </w:r>
          </w:p>
        </w:tc>
        <w:tc>
          <w:tcPr>
            <w:tcW w:type="dxa" w:w="187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Material</w:t>
            </w:r>
          </w:p>
        </w:tc>
        <w:tc>
          <w:tcPr>
            <w:tcW w:type="dxa" w:w="280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Condensate / drain water</w:t>
            </w:r>
          </w:p>
        </w:tc>
        <w:tc>
          <w:tcPr>
            <w:tcW w:type="dxa" w:w="280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Overflow, blowdown, service drain</w:t>
            </w:r>
          </w:p>
        </w:tc>
      </w:tr>
      <w:tr>
        <w:tc>
          <w:tcPr>
            <w:tcW w:type="dxa" w:w="1872"/>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Output</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Energy</w:t>
            </w:r>
          </w:p>
        </w:tc>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Waste heat</w:t>
            </w:r>
          </w:p>
        </w:tc>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Surface losses, vent losses — efficiency budget item</w:t>
            </w:r>
          </w:p>
        </w:tc>
      </w:tr>
      <w:tr>
        <w:tc>
          <w:tcPr>
            <w:tcW w:type="dxa" w:w="1872"/>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20"/>
                <w:szCs w:val="20"/>
              </w:rPr>
              <w:t xml:space="preserve">Output</w:t>
            </w:r>
          </w:p>
        </w:tc>
        <w:tc>
          <w:tcPr>
            <w:tcW w:type="dxa" w:w="187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Information</w:t>
            </w:r>
          </w:p>
        </w:tc>
        <w:tc>
          <w:tcPr>
            <w:tcW w:type="dxa" w:w="280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Status / alerts to user</w:t>
            </w:r>
          </w:p>
        </w:tc>
        <w:tc>
          <w:tcPr>
            <w:tcW w:type="dxa" w:w="280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Local indicators + app notifications</w:t>
            </w:r>
          </w:p>
        </w:tc>
      </w:tr>
    </w:tbl>
    <w:p>
      <w:r>
        <w:t xml:space="preserve"/>
      </w:r>
    </w:p>
    <w:p>
      <w:pPr>
        <w:pStyle w:val="Heading3"/>
      </w:pPr>
      <w:r>
        <w:t xml:space="preserve">External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External entity</w:t>
            </w:r>
          </w:p>
        </w:tc>
        <w:tc>
          <w:tcPr>
            <w:tcW w:type="dxa" w:w="234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Interface type</w:t>
            </w:r>
          </w:p>
        </w:tc>
        <w:tc>
          <w:tcPr>
            <w:tcW w:type="dxa" w:w="468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Exchanges across the boundary</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Service personnel</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Physical / access</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Access panels, hatches, drain points, diagnostic ports, service-log retrieval</w:t>
            </w:r>
          </w:p>
        </w:tc>
      </w:tr>
      <w:tr>
        <w:tc>
          <w:tcPr>
            <w:tcW w:type="dxa" w:w="234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Mobile app (Bluetooth)</w:t>
            </w:r>
          </w:p>
        </w:tc>
        <w:tc>
          <w:tcPr>
            <w:tcW w:type="dxa" w:w="234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Wireless / data</w:t>
            </w:r>
          </w:p>
        </w:tc>
        <w:tc>
          <w:tcPr>
            <w:tcW w:type="dxa" w:w="468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Commands, status, alerts, calibration data, firmware updates (future)</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Building / structure</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Mechanical / utility</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Mounting load, water-supply tap-in, drain connection, electrical mains</w:t>
            </w:r>
          </w:p>
        </w:tc>
      </w:tr>
      <w:tr>
        <w:tc>
          <w:tcPr>
            <w:tcW w:type="dxa" w:w="234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Regulatory standards</w:t>
            </w:r>
          </w:p>
        </w:tc>
        <w:tc>
          <w:tcPr>
            <w:tcW w:type="dxa" w:w="234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Compliance</w:t>
            </w:r>
          </w:p>
        </w:tc>
        <w:tc>
          <w:tcPr>
            <w:tcW w:type="dxa" w:w="468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Pressure-vessel safety, electrical safety, potable-water contact, EMC, EU/IN regional norms</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Ambient environment</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Environmental</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Humidity (input), temperature (operating range), condensation, dust ingress</w:t>
            </w:r>
          </w:p>
        </w:tc>
      </w:tr>
    </w:tbl>
    <w:p>
      <w:r>
        <w:t xml:space="preserve"/>
      </w:r>
    </w:p>
    <w:p>
      <w:pPr>
        <w:pStyle w:val="Heading2"/>
      </w:pPr>
      <w:r>
        <w:t xml:space="preserve">2.2  Subsystem level — decomposition</w:t>
      </w:r>
    </w:p>
    <w:p>
      <w:pPr>
        <w:spacing w:after="160"/>
      </w:pPr>
      <w:r>
        <w:t xml:space="preserve">The system decomposes into six subsystems, each owning one or more numbered functions (F-01 through F-14). The subsystem boundaries follow ownership lines rather than purely physical lines — for example, sensors physically attached to the tanks are owned by Sensing &amp; Control, while the tank bosses they mount on are owned by Tank &amp; Pressure Management. This split is what creates the cross-subsystem dependencies analyzed in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340"/>
        <w:gridCol w:w="1404"/>
        <w:gridCol w:w="5148"/>
      </w:tblGrid>
      <w:tr>
        <w:tc>
          <w:tcPr>
            <w:tcW w:type="dxa" w:w="468"/>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234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Subsystem</w:t>
            </w:r>
          </w:p>
        </w:tc>
        <w:tc>
          <w:tcPr>
            <w:tcW w:type="dxa" w:w="1404"/>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Functions covered</w:t>
            </w:r>
          </w:p>
        </w:tc>
        <w:tc>
          <w:tcPr>
            <w:tcW w:type="dxa" w:w="5148"/>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Constituent elements (subsystem level)</w:t>
            </w:r>
          </w:p>
        </w:tc>
      </w:tr>
      <w:tr>
        <w:tc>
          <w:tcPr>
            <w:tcW w:type="dxa" w:w="46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sz w:val="20"/>
                <w:szCs w:val="20"/>
              </w:rPr>
              <w:t xml:space="preserve">1</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Tank &amp; Pressure Management</w:t>
            </w:r>
          </w:p>
        </w:tc>
        <w:tc>
          <w:tcPr>
            <w:tcW w:type="dxa" w:w="1404"/>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F-01, F-02</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Twin storage tanks · Pressure relief device · Expansion / surge control · Venting / breather</w:t>
            </w:r>
          </w:p>
        </w:tc>
      </w:tr>
      <w:tr>
        <w:tc>
          <w:tcPr>
            <w:tcW w:type="dxa" w:w="46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center"/>
            </w:pPr>
            <w:r>
              <w:rPr>
                <w:b/>
                <w:bCs/>
                <w:sz w:val="20"/>
                <w:szCs w:val="20"/>
              </w:rPr>
              <w:t xml:space="preserve">2</w:t>
            </w:r>
          </w:p>
        </w:tc>
        <w:tc>
          <w:tcPr>
            <w:tcW w:type="dxa" w:w="234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Water Flow &amp; Delivery</w:t>
            </w:r>
          </w:p>
        </w:tc>
        <w:tc>
          <w:tcPr>
            <w:tcW w:type="dxa" w:w="1404"/>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center"/>
            </w:pPr>
            <w:r>
              <w:rPr>
                <w:sz w:val="20"/>
                <w:szCs w:val="20"/>
              </w:rPr>
              <w:t xml:space="preserve">F-02, F-04</w:t>
            </w:r>
          </w:p>
        </w:tc>
        <w:tc>
          <w:tcPr>
            <w:tcW w:type="dxa" w:w="514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Inlet air-moisture capture module · Filters / screens · Water pump · Piping &amp; valves · Hot-water outlet</w:t>
            </w:r>
          </w:p>
        </w:tc>
      </w:tr>
      <w:tr>
        <w:tc>
          <w:tcPr>
            <w:tcW w:type="dxa" w:w="46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sz w:val="20"/>
                <w:szCs w:val="20"/>
              </w:rPr>
              <w:t xml:space="preserve">3</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Sensing &amp; Control</w:t>
            </w:r>
          </w:p>
        </w:tc>
        <w:tc>
          <w:tcPr>
            <w:tcW w:type="dxa" w:w="1404"/>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F-05, F-06, F-07, F-08, F-09, F-11</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Temperature sensors · Pressure sensors · Flow / level sensors · Humidity / air sensors · Control controller (MCU) · Actuators / drivers</w:t>
            </w:r>
          </w:p>
        </w:tc>
      </w:tr>
      <w:tr>
        <w:tc>
          <w:tcPr>
            <w:tcW w:type="dxa" w:w="46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center"/>
            </w:pPr>
            <w:r>
              <w:rPr>
                <w:b/>
                <w:bCs/>
                <w:sz w:val="20"/>
                <w:szCs w:val="20"/>
              </w:rPr>
              <w:t xml:space="preserve">4</w:t>
            </w:r>
          </w:p>
        </w:tc>
        <w:tc>
          <w:tcPr>
            <w:tcW w:type="dxa" w:w="234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Service &amp; Maintenance</w:t>
            </w:r>
          </w:p>
        </w:tc>
        <w:tc>
          <w:tcPr>
            <w:tcW w:type="dxa" w:w="1404"/>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center"/>
            </w:pPr>
            <w:r>
              <w:rPr>
                <w:sz w:val="20"/>
                <w:szCs w:val="20"/>
              </w:rPr>
              <w:t xml:space="preserve">F-03, F-13</w:t>
            </w:r>
          </w:p>
        </w:tc>
        <w:tc>
          <w:tcPr>
            <w:tcW w:type="dxa" w:w="514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Access panels / doors · Drain valves · Isolation valves · Service ports · Descaling / cleaning points · Component replaceability</w:t>
            </w:r>
          </w:p>
        </w:tc>
      </w:tr>
      <w:tr>
        <w:tc>
          <w:tcPr>
            <w:tcW w:type="dxa" w:w="46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sz w:val="20"/>
                <w:szCs w:val="20"/>
              </w:rPr>
              <w:t xml:space="preserve">5</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Enclosure &amp; Insulation</w:t>
            </w:r>
          </w:p>
        </w:tc>
        <w:tc>
          <w:tcPr>
            <w:tcW w:type="dxa" w:w="1404"/>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F-12</w:t>
            </w:r>
          </w:p>
        </w:tc>
        <w:tc>
          <w:tcPr>
            <w:tcW w:type="dxa" w:w="514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Outer enclosure · Insulation · Weather sealing</w:t>
            </w:r>
          </w:p>
        </w:tc>
      </w:tr>
      <w:tr>
        <w:tc>
          <w:tcPr>
            <w:tcW w:type="dxa" w:w="46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center"/>
            </w:pPr>
            <w:r>
              <w:rPr>
                <w:b/>
                <w:bCs/>
                <w:sz w:val="20"/>
                <w:szCs w:val="20"/>
              </w:rPr>
              <w:t xml:space="preserve">6</w:t>
            </w:r>
          </w:p>
        </w:tc>
        <w:tc>
          <w:tcPr>
            <w:tcW w:type="dxa" w:w="234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User Interface &amp; Connectivity</w:t>
            </w:r>
          </w:p>
        </w:tc>
        <w:tc>
          <w:tcPr>
            <w:tcW w:type="dxa" w:w="1404"/>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center"/>
            </w:pPr>
            <w:r>
              <w:rPr>
                <w:sz w:val="20"/>
                <w:szCs w:val="20"/>
              </w:rPr>
              <w:t xml:space="preserve">F-10, F-14</w:t>
            </w:r>
          </w:p>
        </w:tc>
        <w:tc>
          <w:tcPr>
            <w:tcW w:type="dxa" w:w="514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Local display / indicators · Bluetooth module · Mobile application</w:t>
            </w:r>
          </w:p>
        </w:tc>
      </w:tr>
    </w:tbl>
    <w:p>
      <w:r>
        <w:t xml:space="preserve"/>
      </w:r>
    </w:p>
    <w:p>
      <w:r>
        <w:br w:type="page"/>
      </w:r>
    </w:p>
    <w:p>
      <w:pPr>
        <w:pStyle w:val="Heading2"/>
      </w:pPr>
      <w:r>
        <w:t xml:space="preserve">2.3  DSM coupling analysis</w:t>
      </w:r>
    </w:p>
    <w:p>
      <w:pPr>
        <w:spacing w:after="160"/>
      </w:pPr>
      <w:r>
        <w:t xml:space="preserve">A Design Structure Matrix exposes the dependency pattern across subsystems. Each off-diagonal cell answers: does the row subsystem depend on the column subsystem? The dependency content is catalogued in §2.3.2. The matrix is the input to DSM clustering, which classifies dependencies into three priority tiers and identifies the coupled core that must drive Develop-stage sequencing.</w:t>
      </w:r>
    </w:p>
    <w:p>
      <w:pPr>
        <w:pStyle w:val="Heading3"/>
      </w:pPr>
      <w:r>
        <w:t xml:space="preserve">2.3.1  DSM matrix (subsystem ↔ subsystem)</w:t>
      </w:r>
    </w:p>
    <w:p>
      <w:pPr>
        <w:spacing w:after="100"/>
      </w:pPr>
      <w:r>
        <w:t xml:space="preserve">Read horizontally: row X depends on column Y at the indicated priority. Diagonal cells are blocked (a subsystem does not depend on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234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18"/>
                <w:szCs w:val="18"/>
              </w:rPr>
              <w:t xml:space="preserve">Row depends on column →</w:t>
            </w:r>
          </w:p>
        </w:tc>
        <w:tc>
          <w:tcPr>
            <w:tcW w:type="dxa" w:w="117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TPM</w:t>
            </w:r>
          </w:p>
        </w:tc>
        <w:tc>
          <w:tcPr>
            <w:tcW w:type="dxa" w:w="117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WFD</w:t>
            </w:r>
          </w:p>
        </w:tc>
        <w:tc>
          <w:tcPr>
            <w:tcW w:type="dxa" w:w="117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SC</w:t>
            </w:r>
          </w:p>
        </w:tc>
        <w:tc>
          <w:tcPr>
            <w:tcW w:type="dxa" w:w="117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SM</w:t>
            </w:r>
          </w:p>
        </w:tc>
        <w:tc>
          <w:tcPr>
            <w:tcW w:type="dxa" w:w="117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EI</w:t>
            </w:r>
          </w:p>
        </w:tc>
        <w:tc>
          <w:tcPr>
            <w:tcW w:type="dxa" w:w="117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UIC</w:t>
            </w:r>
          </w:p>
        </w:tc>
      </w:tr>
      <w:tr>
        <w:tc>
          <w:tcPr>
            <w:tcW w:type="dxa" w:w="2340"/>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18"/>
                <w:szCs w:val="18"/>
              </w:rPr>
              <w:t xml:space="preserve">TPM — Tank &amp; Pressure Management</w:t>
            </w:r>
          </w:p>
        </w:tc>
        <w:tc>
          <w:tcPr>
            <w:tcW w:type="dxa" w:w="1170"/>
            <w:tcBorders>
              <w:top w:val="single" w:color="BFBFBF" w:sz="1"/>
              <w:left w:val="single" w:color="BFBFBF" w:sz="1"/>
              <w:bottom w:val="single" w:color="BFBFBF" w:sz="1"/>
              <w:right w:val="single" w:color="BFBFBF" w:sz="1"/>
            </w:tcBorders>
            <w:shd w:fill="303030"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1170"/>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center"/>
          </w:tcPr>
          <w:p>
            <w:pPr>
              <w:jc w:val="center"/>
            </w:pPr>
            <w:r>
              <w:rPr>
                <w:b/>
                <w:bCs/>
                <w:color w:val="000000"/>
                <w:sz w:val="20"/>
                <w:szCs w:val="20"/>
              </w:rPr>
              <w:t xml:space="preserve">1</w:t>
            </w:r>
          </w:p>
        </w:tc>
        <w:tc>
          <w:tcPr>
            <w:tcW w:type="dxa" w:w="1170"/>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center"/>
          </w:tcPr>
          <w:p>
            <w:pPr>
              <w:jc w:val="center"/>
            </w:pPr>
            <w:r>
              <w:rPr>
                <w:b/>
                <w:bCs/>
                <w:color w:val="000000"/>
                <w:sz w:val="20"/>
                <w:szCs w:val="20"/>
              </w:rPr>
              <w:t xml:space="preserve">1</w:t>
            </w:r>
          </w:p>
        </w:tc>
        <w:tc>
          <w:tcPr>
            <w:tcW w:type="dxa" w:w="1170"/>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color w:val="000000"/>
                <w:sz w:val="20"/>
                <w:szCs w:val="20"/>
              </w:rPr>
              <w:t xml:space="preserve">2</w:t>
            </w:r>
          </w:p>
        </w:tc>
        <w:tc>
          <w:tcPr>
            <w:tcW w:type="dxa" w:w="1170"/>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color w:val="000000"/>
                <w:sz w:val="20"/>
                <w:szCs w:val="20"/>
              </w:rPr>
              <w:t xml:space="preserve">2</w:t>
            </w:r>
          </w:p>
        </w:tc>
        <w:tc>
          <w:tcPr>
            <w:tcW w:type="dxa" w:w="1170"/>
            <w:tcBorders>
              <w:top w:val="single" w:color="BFBFBF" w:sz="1"/>
              <w:left w:val="single" w:color="BFBFBF" w:sz="1"/>
              <w:bottom w:val="single" w:color="BFBFBF" w:sz="1"/>
              <w:right w:val="single" w:color="BFBFBF" w:sz="1"/>
            </w:tcBorders>
            <w:shd w:fill="303030" w:val="clear"/>
            <w:tcMar>
              <w:top w:type="dxa" w:w="80"/>
              <w:left w:type="dxa" w:w="120"/>
              <w:bottom w:type="dxa" w:w="80"/>
              <w:right w:type="dxa" w:w="120"/>
            </w:tcMar>
            <w:vAlign w:val="center"/>
          </w:tcPr>
          <w:p>
            <w:pPr>
              <w:jc w:val="center"/>
            </w:pPr>
            <w:r>
              <w:rPr>
                <w:b/>
                <w:bCs/>
                <w:color w:val="FFFFFF"/>
                <w:sz w:val="20"/>
                <w:szCs w:val="20"/>
              </w:rPr>
              <w:t xml:space="preserve">—</w:t>
            </w:r>
          </w:p>
        </w:tc>
      </w:tr>
      <w:tr>
        <w:tc>
          <w:tcPr>
            <w:tcW w:type="dxa" w:w="2340"/>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18"/>
                <w:szCs w:val="18"/>
              </w:rPr>
              <w:t xml:space="preserve">WFD — Water Flow &amp; Delivery</w:t>
            </w:r>
          </w:p>
        </w:tc>
        <w:tc>
          <w:tcPr>
            <w:tcW w:type="dxa" w:w="1170"/>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center"/>
          </w:tcPr>
          <w:p>
            <w:pPr>
              <w:jc w:val="center"/>
            </w:pPr>
            <w:r>
              <w:rPr>
                <w:b/>
                <w:bCs/>
                <w:color w:val="000000"/>
                <w:sz w:val="20"/>
                <w:szCs w:val="20"/>
              </w:rPr>
              <w:t xml:space="preserve">1</w:t>
            </w:r>
          </w:p>
        </w:tc>
        <w:tc>
          <w:tcPr>
            <w:tcW w:type="dxa" w:w="1170"/>
            <w:tcBorders>
              <w:top w:val="single" w:color="BFBFBF" w:sz="1"/>
              <w:left w:val="single" w:color="BFBFBF" w:sz="1"/>
              <w:bottom w:val="single" w:color="BFBFBF" w:sz="1"/>
              <w:right w:val="single" w:color="BFBFBF" w:sz="1"/>
            </w:tcBorders>
            <w:shd w:fill="303030"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1170"/>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center"/>
          </w:tcPr>
          <w:p>
            <w:pPr>
              <w:jc w:val="center"/>
            </w:pPr>
            <w:r>
              <w:rPr>
                <w:b/>
                <w:bCs/>
                <w:color w:val="000000"/>
                <w:sz w:val="20"/>
                <w:szCs w:val="20"/>
              </w:rPr>
              <w:t xml:space="preserve">1</w:t>
            </w:r>
          </w:p>
        </w:tc>
        <w:tc>
          <w:tcPr>
            <w:tcW w:type="dxa" w:w="1170"/>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color w:val="000000"/>
                <w:sz w:val="20"/>
                <w:szCs w:val="20"/>
              </w:rPr>
              <w:t xml:space="preserve">2</w:t>
            </w:r>
          </w:p>
        </w:tc>
        <w:tc>
          <w:tcPr>
            <w:tcW w:type="dxa" w:w="1170"/>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color w:val="000000"/>
                <w:sz w:val="20"/>
                <w:szCs w:val="20"/>
              </w:rPr>
              <w:t xml:space="preserve">2</w:t>
            </w:r>
          </w:p>
        </w:tc>
        <w:tc>
          <w:tcPr>
            <w:tcW w:type="dxa" w:w="1170"/>
            <w:tcBorders>
              <w:top w:val="single" w:color="BFBFBF" w:sz="1"/>
              <w:left w:val="single" w:color="BFBFBF" w:sz="1"/>
              <w:bottom w:val="single" w:color="BFBFBF" w:sz="1"/>
              <w:right w:val="single" w:color="BFBFBF" w:sz="1"/>
            </w:tcBorders>
            <w:shd w:fill="303030" w:val="clear"/>
            <w:tcMar>
              <w:top w:type="dxa" w:w="80"/>
              <w:left w:type="dxa" w:w="120"/>
              <w:bottom w:type="dxa" w:w="80"/>
              <w:right w:type="dxa" w:w="120"/>
            </w:tcMar>
            <w:vAlign w:val="center"/>
          </w:tcPr>
          <w:p>
            <w:pPr>
              <w:jc w:val="center"/>
            </w:pPr>
            <w:r>
              <w:rPr>
                <w:b/>
                <w:bCs/>
                <w:color w:val="FFFFFF"/>
                <w:sz w:val="20"/>
                <w:szCs w:val="20"/>
              </w:rPr>
              <w:t xml:space="preserve">—</w:t>
            </w:r>
          </w:p>
        </w:tc>
      </w:tr>
      <w:tr>
        <w:tc>
          <w:tcPr>
            <w:tcW w:type="dxa" w:w="2340"/>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18"/>
                <w:szCs w:val="18"/>
              </w:rPr>
              <w:t xml:space="preserve">SC — Sensing &amp; Control</w:t>
            </w:r>
          </w:p>
        </w:tc>
        <w:tc>
          <w:tcPr>
            <w:tcW w:type="dxa" w:w="1170"/>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center"/>
          </w:tcPr>
          <w:p>
            <w:pPr>
              <w:jc w:val="center"/>
            </w:pPr>
            <w:r>
              <w:rPr>
                <w:b/>
                <w:bCs/>
                <w:color w:val="000000"/>
                <w:sz w:val="20"/>
                <w:szCs w:val="20"/>
              </w:rPr>
              <w:t xml:space="preserve">1</w:t>
            </w:r>
          </w:p>
        </w:tc>
        <w:tc>
          <w:tcPr>
            <w:tcW w:type="dxa" w:w="1170"/>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center"/>
          </w:tcPr>
          <w:p>
            <w:pPr>
              <w:jc w:val="center"/>
            </w:pPr>
            <w:r>
              <w:rPr>
                <w:b/>
                <w:bCs/>
                <w:color w:val="000000"/>
                <w:sz w:val="20"/>
                <w:szCs w:val="20"/>
              </w:rPr>
              <w:t xml:space="preserve">1</w:t>
            </w:r>
          </w:p>
        </w:tc>
        <w:tc>
          <w:tcPr>
            <w:tcW w:type="dxa" w:w="1170"/>
            <w:tcBorders>
              <w:top w:val="single" w:color="BFBFBF" w:sz="1"/>
              <w:left w:val="single" w:color="BFBFBF" w:sz="1"/>
              <w:bottom w:val="single" w:color="BFBFBF" w:sz="1"/>
              <w:right w:val="single" w:color="BFBFBF" w:sz="1"/>
            </w:tcBorders>
            <w:shd w:fill="303030"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1170"/>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color w:val="000000"/>
                <w:sz w:val="20"/>
                <w:szCs w:val="20"/>
              </w:rPr>
              <w:t xml:space="preserve">2</w:t>
            </w:r>
          </w:p>
        </w:tc>
        <w:tc>
          <w:tcPr>
            <w:tcW w:type="dxa" w:w="1170"/>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color w:val="000000"/>
                <w:sz w:val="20"/>
                <w:szCs w:val="20"/>
              </w:rPr>
              <w:t xml:space="preserve">2</w:t>
            </w:r>
          </w:p>
        </w:tc>
        <w:tc>
          <w:tcPr>
            <w:tcW w:type="dxa" w:w="1170"/>
            <w:tcBorders>
              <w:top w:val="single" w:color="BFBFBF" w:sz="1"/>
              <w:left w:val="single" w:color="BFBFBF" w:sz="1"/>
              <w:bottom w:val="single" w:color="BFBFBF" w:sz="1"/>
              <w:right w:val="single" w:color="BFBFBF" w:sz="1"/>
            </w:tcBorders>
            <w:shd w:fill="E6F4EA" w:val="clear"/>
            <w:tcMar>
              <w:top w:type="dxa" w:w="80"/>
              <w:left w:type="dxa" w:w="120"/>
              <w:bottom w:type="dxa" w:w="80"/>
              <w:right w:type="dxa" w:w="120"/>
            </w:tcMar>
            <w:vAlign w:val="center"/>
          </w:tcPr>
          <w:p>
            <w:pPr>
              <w:jc w:val="center"/>
            </w:pPr>
            <w:r>
              <w:rPr>
                <w:b/>
                <w:bCs/>
                <w:color w:val="000000"/>
                <w:sz w:val="20"/>
                <w:szCs w:val="20"/>
              </w:rPr>
              <w:t xml:space="preserve">3</w:t>
            </w:r>
          </w:p>
        </w:tc>
      </w:tr>
      <w:tr>
        <w:tc>
          <w:tcPr>
            <w:tcW w:type="dxa" w:w="2340"/>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18"/>
                <w:szCs w:val="18"/>
              </w:rPr>
              <w:t xml:space="preserve">SM — Service &amp; Maintenance</w:t>
            </w:r>
          </w:p>
        </w:tc>
        <w:tc>
          <w:tcPr>
            <w:tcW w:type="dxa" w:w="1170"/>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color w:val="000000"/>
                <w:sz w:val="20"/>
                <w:szCs w:val="20"/>
              </w:rPr>
              <w:t xml:space="preserve">2</w:t>
            </w:r>
          </w:p>
        </w:tc>
        <w:tc>
          <w:tcPr>
            <w:tcW w:type="dxa" w:w="1170"/>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color w:val="000000"/>
                <w:sz w:val="20"/>
                <w:szCs w:val="20"/>
              </w:rPr>
              <w:t xml:space="preserve">2</w:t>
            </w:r>
          </w:p>
        </w:tc>
        <w:tc>
          <w:tcPr>
            <w:tcW w:type="dxa" w:w="1170"/>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color w:val="000000"/>
                <w:sz w:val="20"/>
                <w:szCs w:val="20"/>
              </w:rPr>
              <w:t xml:space="preserve">2</w:t>
            </w:r>
          </w:p>
        </w:tc>
        <w:tc>
          <w:tcPr>
            <w:tcW w:type="dxa" w:w="1170"/>
            <w:tcBorders>
              <w:top w:val="single" w:color="BFBFBF" w:sz="1"/>
              <w:left w:val="single" w:color="BFBFBF" w:sz="1"/>
              <w:bottom w:val="single" w:color="BFBFBF" w:sz="1"/>
              <w:right w:val="single" w:color="BFBFBF" w:sz="1"/>
            </w:tcBorders>
            <w:shd w:fill="303030"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1170"/>
            <w:tcBorders>
              <w:top w:val="single" w:color="BFBFBF" w:sz="1"/>
              <w:left w:val="single" w:color="BFBFBF" w:sz="1"/>
              <w:bottom w:val="single" w:color="BFBFBF" w:sz="1"/>
              <w:right w:val="single" w:color="BFBFBF" w:sz="1"/>
            </w:tcBorders>
            <w:shd w:fill="303030"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1170"/>
            <w:tcBorders>
              <w:top w:val="single" w:color="BFBFBF" w:sz="1"/>
              <w:left w:val="single" w:color="BFBFBF" w:sz="1"/>
              <w:bottom w:val="single" w:color="BFBFBF" w:sz="1"/>
              <w:right w:val="single" w:color="BFBFBF" w:sz="1"/>
            </w:tcBorders>
            <w:shd w:fill="E6F4EA" w:val="clear"/>
            <w:tcMar>
              <w:top w:type="dxa" w:w="80"/>
              <w:left w:type="dxa" w:w="120"/>
              <w:bottom w:type="dxa" w:w="80"/>
              <w:right w:type="dxa" w:w="120"/>
            </w:tcMar>
            <w:vAlign w:val="center"/>
          </w:tcPr>
          <w:p>
            <w:pPr>
              <w:jc w:val="center"/>
            </w:pPr>
            <w:r>
              <w:rPr>
                <w:b/>
                <w:bCs/>
                <w:color w:val="000000"/>
                <w:sz w:val="20"/>
                <w:szCs w:val="20"/>
              </w:rPr>
              <w:t xml:space="preserve">3</w:t>
            </w:r>
          </w:p>
        </w:tc>
      </w:tr>
      <w:tr>
        <w:tc>
          <w:tcPr>
            <w:tcW w:type="dxa" w:w="2340"/>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18"/>
                <w:szCs w:val="18"/>
              </w:rPr>
              <w:t xml:space="preserve">EI — Enclosure &amp; Insulation</w:t>
            </w:r>
          </w:p>
        </w:tc>
        <w:tc>
          <w:tcPr>
            <w:tcW w:type="dxa" w:w="1170"/>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color w:val="000000"/>
                <w:sz w:val="20"/>
                <w:szCs w:val="20"/>
              </w:rPr>
              <w:t xml:space="preserve">2</w:t>
            </w:r>
          </w:p>
        </w:tc>
        <w:tc>
          <w:tcPr>
            <w:tcW w:type="dxa" w:w="1170"/>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color w:val="000000"/>
                <w:sz w:val="20"/>
                <w:szCs w:val="20"/>
              </w:rPr>
              <w:t xml:space="preserve">2</w:t>
            </w:r>
          </w:p>
        </w:tc>
        <w:tc>
          <w:tcPr>
            <w:tcW w:type="dxa" w:w="1170"/>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color w:val="000000"/>
                <w:sz w:val="20"/>
                <w:szCs w:val="20"/>
              </w:rPr>
              <w:t xml:space="preserve">2</w:t>
            </w:r>
          </w:p>
        </w:tc>
        <w:tc>
          <w:tcPr>
            <w:tcW w:type="dxa" w:w="1170"/>
            <w:tcBorders>
              <w:top w:val="single" w:color="BFBFBF" w:sz="1"/>
              <w:left w:val="single" w:color="BFBFBF" w:sz="1"/>
              <w:bottom w:val="single" w:color="BFBFBF" w:sz="1"/>
              <w:right w:val="single" w:color="BFBFBF" w:sz="1"/>
            </w:tcBorders>
            <w:shd w:fill="303030"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1170"/>
            <w:tcBorders>
              <w:top w:val="single" w:color="BFBFBF" w:sz="1"/>
              <w:left w:val="single" w:color="BFBFBF" w:sz="1"/>
              <w:bottom w:val="single" w:color="BFBFBF" w:sz="1"/>
              <w:right w:val="single" w:color="BFBFBF" w:sz="1"/>
            </w:tcBorders>
            <w:shd w:fill="303030"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1170"/>
            <w:tcBorders>
              <w:top w:val="single" w:color="BFBFBF" w:sz="1"/>
              <w:left w:val="single" w:color="BFBFBF" w:sz="1"/>
              <w:bottom w:val="single" w:color="BFBFBF" w:sz="1"/>
              <w:right w:val="single" w:color="BFBFBF" w:sz="1"/>
            </w:tcBorders>
            <w:shd w:fill="E6F4EA" w:val="clear"/>
            <w:tcMar>
              <w:top w:type="dxa" w:w="80"/>
              <w:left w:type="dxa" w:w="120"/>
              <w:bottom w:type="dxa" w:w="80"/>
              <w:right w:type="dxa" w:w="120"/>
            </w:tcMar>
            <w:vAlign w:val="center"/>
          </w:tcPr>
          <w:p>
            <w:pPr>
              <w:jc w:val="center"/>
            </w:pPr>
            <w:r>
              <w:rPr>
                <w:b/>
                <w:bCs/>
                <w:color w:val="000000"/>
                <w:sz w:val="20"/>
                <w:szCs w:val="20"/>
              </w:rPr>
              <w:t xml:space="preserve">3</w:t>
            </w:r>
          </w:p>
        </w:tc>
      </w:tr>
      <w:tr>
        <w:tc>
          <w:tcPr>
            <w:tcW w:type="dxa" w:w="2340"/>
            <w:tcBorders>
              <w:top w:val="single" w:color="BFBFBF" w:sz="1"/>
              <w:left w:val="single" w:color="BFBFBF" w:sz="1"/>
              <w:bottom w:val="single" w:color="BFBFBF" w:sz="1"/>
              <w:right w:val="single" w:color="BFBFBF" w:sz="1"/>
            </w:tcBorders>
            <w:shd w:fill="E8EEF5" w:val="clear"/>
            <w:tcMar>
              <w:top w:type="dxa" w:w="80"/>
              <w:left w:type="dxa" w:w="120"/>
              <w:bottom w:type="dxa" w:w="80"/>
              <w:right w:type="dxa" w:w="120"/>
            </w:tcMar>
            <w:vAlign w:val="center"/>
          </w:tcPr>
          <w:p>
            <w:pPr>
              <w:jc w:val="left"/>
            </w:pPr>
            <w:r>
              <w:rPr>
                <w:b/>
                <w:bCs/>
                <w:sz w:val="18"/>
                <w:szCs w:val="18"/>
              </w:rPr>
              <w:t xml:space="preserve">UIC — User Interface &amp; Connectivity</w:t>
            </w:r>
          </w:p>
        </w:tc>
        <w:tc>
          <w:tcPr>
            <w:tcW w:type="dxa" w:w="1170"/>
            <w:tcBorders>
              <w:top w:val="single" w:color="BFBFBF" w:sz="1"/>
              <w:left w:val="single" w:color="BFBFBF" w:sz="1"/>
              <w:bottom w:val="single" w:color="BFBFBF" w:sz="1"/>
              <w:right w:val="single" w:color="BFBFBF" w:sz="1"/>
            </w:tcBorders>
            <w:shd w:fill="303030"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1170"/>
            <w:tcBorders>
              <w:top w:val="single" w:color="BFBFBF" w:sz="1"/>
              <w:left w:val="single" w:color="BFBFBF" w:sz="1"/>
              <w:bottom w:val="single" w:color="BFBFBF" w:sz="1"/>
              <w:right w:val="single" w:color="BFBFBF" w:sz="1"/>
            </w:tcBorders>
            <w:shd w:fill="303030"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1170"/>
            <w:tcBorders>
              <w:top w:val="single" w:color="BFBFBF" w:sz="1"/>
              <w:left w:val="single" w:color="BFBFBF" w:sz="1"/>
              <w:bottom w:val="single" w:color="BFBFBF" w:sz="1"/>
              <w:right w:val="single" w:color="BFBFBF" w:sz="1"/>
            </w:tcBorders>
            <w:shd w:fill="E6F4EA" w:val="clear"/>
            <w:tcMar>
              <w:top w:type="dxa" w:w="80"/>
              <w:left w:type="dxa" w:w="120"/>
              <w:bottom w:type="dxa" w:w="80"/>
              <w:right w:type="dxa" w:w="120"/>
            </w:tcMar>
            <w:vAlign w:val="center"/>
          </w:tcPr>
          <w:p>
            <w:pPr>
              <w:jc w:val="center"/>
            </w:pPr>
            <w:r>
              <w:rPr>
                <w:b/>
                <w:bCs/>
                <w:color w:val="000000"/>
                <w:sz w:val="20"/>
                <w:szCs w:val="20"/>
              </w:rPr>
              <w:t xml:space="preserve">3</w:t>
            </w:r>
          </w:p>
        </w:tc>
        <w:tc>
          <w:tcPr>
            <w:tcW w:type="dxa" w:w="1170"/>
            <w:tcBorders>
              <w:top w:val="single" w:color="BFBFBF" w:sz="1"/>
              <w:left w:val="single" w:color="BFBFBF" w:sz="1"/>
              <w:bottom w:val="single" w:color="BFBFBF" w:sz="1"/>
              <w:right w:val="single" w:color="BFBFBF" w:sz="1"/>
            </w:tcBorders>
            <w:shd w:fill="E6F4EA" w:val="clear"/>
            <w:tcMar>
              <w:top w:type="dxa" w:w="80"/>
              <w:left w:type="dxa" w:w="120"/>
              <w:bottom w:type="dxa" w:w="80"/>
              <w:right w:type="dxa" w:w="120"/>
            </w:tcMar>
            <w:vAlign w:val="center"/>
          </w:tcPr>
          <w:p>
            <w:pPr>
              <w:jc w:val="center"/>
            </w:pPr>
            <w:r>
              <w:rPr>
                <w:b/>
                <w:bCs/>
                <w:color w:val="000000"/>
                <w:sz w:val="20"/>
                <w:szCs w:val="20"/>
              </w:rPr>
              <w:t xml:space="preserve">3</w:t>
            </w:r>
          </w:p>
        </w:tc>
        <w:tc>
          <w:tcPr>
            <w:tcW w:type="dxa" w:w="1170"/>
            <w:tcBorders>
              <w:top w:val="single" w:color="BFBFBF" w:sz="1"/>
              <w:left w:val="single" w:color="BFBFBF" w:sz="1"/>
              <w:bottom w:val="single" w:color="BFBFBF" w:sz="1"/>
              <w:right w:val="single" w:color="BFBFBF" w:sz="1"/>
            </w:tcBorders>
            <w:shd w:fill="E6F4EA" w:val="clear"/>
            <w:tcMar>
              <w:top w:type="dxa" w:w="80"/>
              <w:left w:type="dxa" w:w="120"/>
              <w:bottom w:type="dxa" w:w="80"/>
              <w:right w:type="dxa" w:w="120"/>
            </w:tcMar>
            <w:vAlign w:val="center"/>
          </w:tcPr>
          <w:p>
            <w:pPr>
              <w:jc w:val="center"/>
            </w:pPr>
            <w:r>
              <w:rPr>
                <w:b/>
                <w:bCs/>
                <w:color w:val="000000"/>
                <w:sz w:val="20"/>
                <w:szCs w:val="20"/>
              </w:rPr>
              <w:t xml:space="preserve">3</w:t>
            </w:r>
          </w:p>
        </w:tc>
        <w:tc>
          <w:tcPr>
            <w:tcW w:type="dxa" w:w="1170"/>
            <w:tcBorders>
              <w:top w:val="single" w:color="BFBFBF" w:sz="1"/>
              <w:left w:val="single" w:color="BFBFBF" w:sz="1"/>
              <w:bottom w:val="single" w:color="BFBFBF" w:sz="1"/>
              <w:right w:val="single" w:color="BFBFBF" w:sz="1"/>
            </w:tcBorders>
            <w:shd w:fill="303030" w:val="clear"/>
            <w:tcMar>
              <w:top w:type="dxa" w:w="80"/>
              <w:left w:type="dxa" w:w="120"/>
              <w:bottom w:type="dxa" w:w="80"/>
              <w:right w:type="dxa" w:w="120"/>
            </w:tcMar>
            <w:vAlign w:val="center"/>
          </w:tcPr>
          <w:p>
            <w:pPr>
              <w:jc w:val="center"/>
            </w:pPr>
            <w:r>
              <w:rPr>
                <w:b/>
                <w:bCs/>
                <w:color w:val="FFFFFF"/>
                <w:sz w:val="20"/>
                <w:szCs w:val="20"/>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200"/>
        <w:gridCol w:w="5990"/>
      </w:tblGrid>
      <w:tr>
        <w:tc>
          <w:tcPr>
            <w:tcW w:type="dxa" w:w="117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Priority</w:t>
            </w:r>
          </w:p>
        </w:tc>
        <w:tc>
          <w:tcPr>
            <w:tcW w:type="dxa" w:w="22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Coupling tier</w:t>
            </w:r>
          </w:p>
        </w:tc>
        <w:tc>
          <w:tcPr>
            <w:tcW w:type="dxa" w:w="599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Interpretation &amp; Develop-stage implication</w:t>
            </w:r>
          </w:p>
        </w:tc>
      </w:tr>
      <w:tr>
        <w:tc>
          <w:tcPr>
            <w:tcW w:type="dxa" w:w="1170"/>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center"/>
          </w:tcPr>
          <w:p>
            <w:pPr>
              <w:jc w:val="center"/>
            </w:pPr>
            <w:r>
              <w:rPr>
                <w:b/>
                <w:bCs/>
                <w:sz w:val="20"/>
                <w:szCs w:val="20"/>
              </w:rPr>
              <w:t xml:space="preserve">1</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Tightly coupled core</w:t>
            </w:r>
          </w:p>
        </w:tc>
        <w:tc>
          <w:tcPr>
            <w:tcW w:type="dxa" w:w="599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Bidirectional dependencies. Cannot be sequenced — must be co-developed iteratively. Lock interface control documents (ICDs) first; treat BOM and DFMEA as live.</w:t>
            </w:r>
          </w:p>
        </w:tc>
      </w:tr>
      <w:tr>
        <w:tc>
          <w:tcPr>
            <w:tcW w:type="dxa" w:w="1170"/>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sz w:val="20"/>
                <w:szCs w:val="20"/>
              </w:rPr>
              <w:t xml:space="preserve">2</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Coupling support</w:t>
            </w:r>
          </w:p>
        </w:tc>
        <w:tc>
          <w:tcPr>
            <w:tcW w:type="dxa" w:w="599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Bidirectional but with clearer interface lines. Develop in parallel but lower iteration intensity than tier 1.</w:t>
            </w:r>
          </w:p>
        </w:tc>
      </w:tr>
      <w:tr>
        <w:tc>
          <w:tcPr>
            <w:tcW w:type="dxa" w:w="1170"/>
            <w:tcBorders>
              <w:top w:val="single" w:color="BFBFBF" w:sz="1"/>
              <w:left w:val="single" w:color="BFBFBF" w:sz="1"/>
              <w:bottom w:val="single" w:color="BFBFBF" w:sz="1"/>
              <w:right w:val="single" w:color="BFBFBF" w:sz="1"/>
            </w:tcBorders>
            <w:shd w:fill="E6F4EA" w:val="clear"/>
            <w:tcMar>
              <w:top w:type="dxa" w:w="80"/>
              <w:left w:type="dxa" w:w="120"/>
              <w:bottom w:type="dxa" w:w="80"/>
              <w:right w:type="dxa" w:w="120"/>
            </w:tcMar>
            <w:vAlign w:val="center"/>
          </w:tcPr>
          <w:p>
            <w:pPr>
              <w:jc w:val="center"/>
            </w:pPr>
            <w:r>
              <w:rPr>
                <w:b/>
                <w:bCs/>
                <w:sz w:val="20"/>
                <w:szCs w:val="20"/>
              </w:rPr>
              <w:t xml:space="preserve">3</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Downstream consumer</w:t>
            </w:r>
          </w:p>
        </w:tc>
        <w:tc>
          <w:tcPr>
            <w:tcW w:type="dxa" w:w="599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Largely depends on, but does not feed, the core. Can be developed later once upstream interfaces stabilize.</w:t>
            </w:r>
          </w:p>
        </w:tc>
      </w:tr>
    </w:tbl>
    <w:p>
      <w:r>
        <w:t xml:space="preserve"/>
      </w:r>
    </w:p>
    <w:p>
      <w:pPr>
        <w:pStyle w:val="Heading3"/>
      </w:pPr>
      <w:r>
        <w:t xml:space="preserve">2.3.2  Dependency catalog</w:t>
      </w:r>
    </w:p>
    <w:p>
      <w:pPr>
        <w:spacing w:after="100"/>
      </w:pPr>
      <w:r>
        <w:t xml:space="preserve">Each non-zero cell in the matrix corresponds to one or more concrete exchanges across the subsystem interface. The catalog below is what populates the Function Flow table in §3.2 and seeds the ICD priorities in §2.3.4.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2106"/>
        <w:gridCol w:w="1872"/>
        <w:gridCol w:w="4758"/>
      </w:tblGrid>
      <w:tr>
        <w:tc>
          <w:tcPr>
            <w:tcW w:type="dxa" w:w="624"/>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Pri</w:t>
            </w:r>
          </w:p>
        </w:tc>
        <w:tc>
          <w:tcPr>
            <w:tcW w:type="dxa" w:w="2106"/>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From (depends on →)</w:t>
            </w:r>
          </w:p>
        </w:tc>
        <w:tc>
          <w:tcPr>
            <w:tcW w:type="dxa" w:w="1872"/>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On</w:t>
            </w:r>
          </w:p>
        </w:tc>
        <w:tc>
          <w:tcPr>
            <w:tcW w:type="dxa" w:w="4758"/>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Dependency content</w:t>
            </w:r>
          </w:p>
        </w:tc>
      </w:tr>
      <w:tr>
        <w:tc>
          <w:tcPr>
            <w:tcW w:type="dxa" w:w="624"/>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center"/>
          </w:tcPr>
          <w:p>
            <w:pPr>
              <w:jc w:val="center"/>
            </w:pPr>
            <w:r>
              <w:rPr>
                <w:b/>
                <w:bCs/>
                <w:sz w:val="20"/>
                <w:szCs w:val="20"/>
              </w:rPr>
              <w:t xml:space="preserve">1</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Tank &amp; Pressure Management</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Sensing &amp; Control</w:t>
            </w:r>
          </w:p>
        </w:tc>
        <w:tc>
          <w:tcPr>
            <w:tcW w:type="dxa" w:w="475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Pressure readings; tank level data; temperature feedback; relief valve status; fault signals; sensor mounting support</w:t>
            </w:r>
          </w:p>
        </w:tc>
      </w:tr>
      <w:tr>
        <w:tc>
          <w:tcPr>
            <w:tcW w:type="dxa" w:w="624"/>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center"/>
          </w:tcPr>
          <w:p>
            <w:pPr>
              <w:jc w:val="center"/>
            </w:pPr>
            <w:r>
              <w:rPr>
                <w:b/>
                <w:bCs/>
                <w:sz w:val="20"/>
                <w:szCs w:val="20"/>
              </w:rPr>
              <w:t xml:space="preserve">1</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Tank &amp; Pressure Management</w:t>
            </w:r>
          </w:p>
        </w:tc>
        <w:tc>
          <w:tcPr>
            <w:tcW w:type="dxa" w:w="187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Water Flow &amp; Delivery</w:t>
            </w:r>
          </w:p>
        </w:tc>
        <w:tc>
          <w:tcPr>
            <w:tcW w:type="dxa" w:w="475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Water flow between tanks; inlet/outlet hydraulic connections; flow paths; surge damping coordination; venting air path integration</w:t>
            </w:r>
          </w:p>
        </w:tc>
      </w:tr>
      <w:tr>
        <w:tc>
          <w:tcPr>
            <w:tcW w:type="dxa" w:w="624"/>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center"/>
          </w:tcPr>
          <w:p>
            <w:pPr>
              <w:jc w:val="center"/>
            </w:pPr>
            <w:r>
              <w:rPr>
                <w:b/>
                <w:bCs/>
                <w:sz w:val="20"/>
                <w:szCs w:val="20"/>
              </w:rPr>
              <w:t xml:space="preserve">1</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Sensing &amp; Control</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Tank &amp; Pressure Management</w:t>
            </w:r>
          </w:p>
        </w:tc>
        <w:tc>
          <w:tcPr>
            <w:tcW w:type="dxa" w:w="475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Physical sensor mounting; tank temperature source; pressure measurement points; relief valve feedback; tank status information</w:t>
            </w:r>
          </w:p>
        </w:tc>
      </w:tr>
      <w:tr>
        <w:tc>
          <w:tcPr>
            <w:tcW w:type="dxa" w:w="624"/>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center"/>
          </w:tcPr>
          <w:p>
            <w:pPr>
              <w:jc w:val="center"/>
            </w:pPr>
            <w:r>
              <w:rPr>
                <w:b/>
                <w:bCs/>
                <w:sz w:val="20"/>
                <w:szCs w:val="20"/>
              </w:rPr>
              <w:t xml:space="preserve">1</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Sensing &amp; Control</w:t>
            </w:r>
          </w:p>
        </w:tc>
        <w:tc>
          <w:tcPr>
            <w:tcW w:type="dxa" w:w="187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Water Flow &amp; Delivery</w:t>
            </w:r>
          </w:p>
        </w:tc>
        <w:tc>
          <w:tcPr>
            <w:tcW w:type="dxa" w:w="475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Flow sensor integration; pump control signals; valve actuation feedback; leak detection inputs; flow status data</w:t>
            </w:r>
          </w:p>
        </w:tc>
      </w:tr>
      <w:tr>
        <w:tc>
          <w:tcPr>
            <w:tcW w:type="dxa" w:w="624"/>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center"/>
          </w:tcPr>
          <w:p>
            <w:pPr>
              <w:jc w:val="center"/>
            </w:pPr>
            <w:r>
              <w:rPr>
                <w:b/>
                <w:bCs/>
                <w:sz w:val="20"/>
                <w:szCs w:val="20"/>
              </w:rPr>
              <w:t xml:space="preserve">1</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Water Flow &amp; Delivery</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Tank &amp; Pressure Management</w:t>
            </w:r>
          </w:p>
        </w:tc>
        <w:tc>
          <w:tcPr>
            <w:tcW w:type="dxa" w:w="475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Water supply from tanks; pressure stabilization; surge control; vent coordination</w:t>
            </w:r>
          </w:p>
        </w:tc>
      </w:tr>
      <w:tr>
        <w:tc>
          <w:tcPr>
            <w:tcW w:type="dxa" w:w="624"/>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center"/>
          </w:tcPr>
          <w:p>
            <w:pPr>
              <w:jc w:val="center"/>
            </w:pPr>
            <w:r>
              <w:rPr>
                <w:b/>
                <w:bCs/>
                <w:sz w:val="20"/>
                <w:szCs w:val="20"/>
              </w:rPr>
              <w:t xml:space="preserve">1</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Water Flow &amp; Delivery</w:t>
            </w:r>
          </w:p>
        </w:tc>
        <w:tc>
          <w:tcPr>
            <w:tcW w:type="dxa" w:w="187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Sensing &amp; Control</w:t>
            </w:r>
          </w:p>
        </w:tc>
        <w:tc>
          <w:tcPr>
            <w:tcW w:type="dxa" w:w="475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Pump commands; valve control signals; flow monitoring; leak detection logic</w:t>
            </w:r>
          </w:p>
        </w:tc>
      </w:tr>
      <w:tr>
        <w:tc>
          <w:tcPr>
            <w:tcW w:type="dxa" w:w="624"/>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sz w:val="20"/>
                <w:szCs w:val="20"/>
              </w:rPr>
              <w:t xml:space="preserve">2</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Tank &amp; Pressure Management</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Service &amp; Maintenance</w:t>
            </w:r>
          </w:p>
        </w:tc>
        <w:tc>
          <w:tcPr>
            <w:tcW w:type="dxa" w:w="475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Cleaning access; drain access; inspection ports; pressure relief servicing; replaceable fittings</w:t>
            </w:r>
          </w:p>
        </w:tc>
      </w:tr>
      <w:tr>
        <w:tc>
          <w:tcPr>
            <w:tcW w:type="dxa" w:w="624"/>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sz w:val="20"/>
                <w:szCs w:val="20"/>
              </w:rPr>
              <w:t xml:space="preserve">2</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Tank &amp; Pressure Management</w:t>
            </w:r>
          </w:p>
        </w:tc>
        <w:tc>
          <w:tcPr>
            <w:tcW w:type="dxa" w:w="187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Enclosure &amp; Insulation</w:t>
            </w:r>
          </w:p>
        </w:tc>
        <w:tc>
          <w:tcPr>
            <w:tcW w:type="dxa" w:w="475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Structural support; mechanical mounting; insulation contact; condensation management</w:t>
            </w:r>
          </w:p>
        </w:tc>
      </w:tr>
      <w:tr>
        <w:tc>
          <w:tcPr>
            <w:tcW w:type="dxa" w:w="624"/>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sz w:val="20"/>
                <w:szCs w:val="20"/>
              </w:rPr>
              <w:t xml:space="preserve">2</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Sensing &amp; Control</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Service &amp; Maintenance</w:t>
            </w:r>
          </w:p>
        </w:tc>
        <w:tc>
          <w:tcPr>
            <w:tcW w:type="dxa" w:w="475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Diagnostic access; firmware updates; calibration access; error code retrieval; service interfaces</w:t>
            </w:r>
          </w:p>
        </w:tc>
      </w:tr>
      <w:tr>
        <w:tc>
          <w:tcPr>
            <w:tcW w:type="dxa" w:w="624"/>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sz w:val="20"/>
                <w:szCs w:val="20"/>
              </w:rPr>
              <w:t xml:space="preserve">2</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Sensing &amp; Control</w:t>
            </w:r>
          </w:p>
        </w:tc>
        <w:tc>
          <w:tcPr>
            <w:tcW w:type="dxa" w:w="187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Enclosure &amp; Insulation</w:t>
            </w:r>
          </w:p>
        </w:tc>
        <w:tc>
          <w:tcPr>
            <w:tcW w:type="dxa" w:w="475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Sensor wiring routing; EMI shielding; environmental protection; thermal protection; display mounting</w:t>
            </w:r>
          </w:p>
        </w:tc>
      </w:tr>
      <w:tr>
        <w:tc>
          <w:tcPr>
            <w:tcW w:type="dxa" w:w="624"/>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sz w:val="20"/>
                <w:szCs w:val="20"/>
              </w:rPr>
              <w:t xml:space="preserve">2</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Water Flow &amp; Delivery</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Service &amp; Maintenance</w:t>
            </w:r>
          </w:p>
        </w:tc>
        <w:tc>
          <w:tcPr>
            <w:tcW w:type="dxa" w:w="475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Valve access; pump servicing; pipe accessibility; isolation support</w:t>
            </w:r>
          </w:p>
        </w:tc>
      </w:tr>
      <w:tr>
        <w:tc>
          <w:tcPr>
            <w:tcW w:type="dxa" w:w="624"/>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sz w:val="20"/>
                <w:szCs w:val="20"/>
              </w:rPr>
              <w:t xml:space="preserve">2</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Water Flow &amp; Delivery</w:t>
            </w:r>
          </w:p>
        </w:tc>
        <w:tc>
          <w:tcPr>
            <w:tcW w:type="dxa" w:w="187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Enclosure &amp; Insulation</w:t>
            </w:r>
          </w:p>
        </w:tc>
        <w:tc>
          <w:tcPr>
            <w:tcW w:type="dxa" w:w="475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Routing paths; pipe sealing; environmental protection; thermal retention</w:t>
            </w:r>
          </w:p>
        </w:tc>
      </w:tr>
      <w:tr>
        <w:tc>
          <w:tcPr>
            <w:tcW w:type="dxa" w:w="624"/>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sz w:val="20"/>
                <w:szCs w:val="20"/>
              </w:rPr>
              <w:t xml:space="preserve">2</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Service &amp; Maintenance</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Tank &amp; Pressure Management</w:t>
            </w:r>
          </w:p>
        </w:tc>
        <w:tc>
          <w:tcPr>
            <w:tcW w:type="dxa" w:w="475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Tank inspection access; drain servicing; relief valve maintenance; replaceable fittings</w:t>
            </w:r>
          </w:p>
        </w:tc>
      </w:tr>
      <w:tr>
        <w:tc>
          <w:tcPr>
            <w:tcW w:type="dxa" w:w="624"/>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sz w:val="20"/>
                <w:szCs w:val="20"/>
              </w:rPr>
              <w:t xml:space="preserve">2</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Service &amp; Maintenance</w:t>
            </w:r>
          </w:p>
        </w:tc>
        <w:tc>
          <w:tcPr>
            <w:tcW w:type="dxa" w:w="187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Sensing &amp; Control</w:t>
            </w:r>
          </w:p>
        </w:tc>
        <w:tc>
          <w:tcPr>
            <w:tcW w:type="dxa" w:w="475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Diagnostic information; calibration settings; fault codes; firmware updates</w:t>
            </w:r>
          </w:p>
        </w:tc>
      </w:tr>
      <w:tr>
        <w:tc>
          <w:tcPr>
            <w:tcW w:type="dxa" w:w="624"/>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sz w:val="20"/>
                <w:szCs w:val="20"/>
              </w:rPr>
              <w:t xml:space="preserve">2</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Service &amp; Maintenance</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Water Flow &amp; Delivery</w:t>
            </w:r>
          </w:p>
        </w:tc>
        <w:tc>
          <w:tcPr>
            <w:tcW w:type="dxa" w:w="475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Access to pumps; access to valves; pipe maintenance; flow path inspection</w:t>
            </w:r>
          </w:p>
        </w:tc>
      </w:tr>
      <w:tr>
        <w:tc>
          <w:tcPr>
            <w:tcW w:type="dxa" w:w="624"/>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sz w:val="20"/>
                <w:szCs w:val="20"/>
              </w:rPr>
              <w:t xml:space="preserve">2</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Enclosure &amp; Insulation</w:t>
            </w:r>
          </w:p>
        </w:tc>
        <w:tc>
          <w:tcPr>
            <w:tcW w:type="dxa" w:w="187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Tank &amp; Pressure Management</w:t>
            </w:r>
          </w:p>
        </w:tc>
        <w:tc>
          <w:tcPr>
            <w:tcW w:type="dxa" w:w="475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Tank geometry; structural load distribution; pressure boundary accommodation; condensation behavior</w:t>
            </w:r>
          </w:p>
        </w:tc>
      </w:tr>
      <w:tr>
        <w:tc>
          <w:tcPr>
            <w:tcW w:type="dxa" w:w="624"/>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sz w:val="20"/>
                <w:szCs w:val="20"/>
              </w:rPr>
              <w:t xml:space="preserve">2</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Enclosure &amp; Insulation</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Sensing &amp; Control</w:t>
            </w:r>
          </w:p>
        </w:tc>
        <w:tc>
          <w:tcPr>
            <w:tcW w:type="dxa" w:w="475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Sensor mounting requirements; wiring routes; EMI shielding requirements; thermal protection constraints</w:t>
            </w:r>
          </w:p>
        </w:tc>
      </w:tr>
      <w:tr>
        <w:tc>
          <w:tcPr>
            <w:tcW w:type="dxa" w:w="624"/>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sz w:val="20"/>
                <w:szCs w:val="20"/>
              </w:rPr>
              <w:t xml:space="preserve">2</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Enclosure &amp; Insulation</w:t>
            </w:r>
          </w:p>
        </w:tc>
        <w:tc>
          <w:tcPr>
            <w:tcW w:type="dxa" w:w="187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Water Flow &amp; Delivery</w:t>
            </w:r>
          </w:p>
        </w:tc>
        <w:tc>
          <w:tcPr>
            <w:tcW w:type="dxa" w:w="475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Pipe routing; sealing interfaces; flow path accommodation</w:t>
            </w:r>
          </w:p>
        </w:tc>
      </w:tr>
      <w:tr>
        <w:tc>
          <w:tcPr>
            <w:tcW w:type="dxa" w:w="624"/>
            <w:tcBorders>
              <w:top w:val="single" w:color="BFBFBF" w:sz="1"/>
              <w:left w:val="single" w:color="BFBFBF" w:sz="1"/>
              <w:bottom w:val="single" w:color="BFBFBF" w:sz="1"/>
              <w:right w:val="single" w:color="BFBFBF" w:sz="1"/>
            </w:tcBorders>
            <w:shd w:fill="E6F4EA" w:val="clear"/>
            <w:tcMar>
              <w:top w:type="dxa" w:w="80"/>
              <w:left w:type="dxa" w:w="120"/>
              <w:bottom w:type="dxa" w:w="80"/>
              <w:right w:type="dxa" w:w="120"/>
            </w:tcMar>
            <w:vAlign w:val="center"/>
          </w:tcPr>
          <w:p>
            <w:pPr>
              <w:jc w:val="center"/>
            </w:pPr>
            <w:r>
              <w:rPr>
                <w:b/>
                <w:bCs/>
                <w:sz w:val="20"/>
                <w:szCs w:val="20"/>
              </w:rPr>
              <w:t xml:space="preserve">3</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Sensing &amp; Control</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User Interface &amp; Connectivity</w:t>
            </w:r>
          </w:p>
        </w:tc>
        <w:tc>
          <w:tcPr>
            <w:tcW w:type="dxa" w:w="475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Data visualization; alerts/notifications; user commands; app communication; diagnostic display</w:t>
            </w:r>
          </w:p>
        </w:tc>
      </w:tr>
      <w:tr>
        <w:tc>
          <w:tcPr>
            <w:tcW w:type="dxa" w:w="624"/>
            <w:tcBorders>
              <w:top w:val="single" w:color="BFBFBF" w:sz="1"/>
              <w:left w:val="single" w:color="BFBFBF" w:sz="1"/>
              <w:bottom w:val="single" w:color="BFBFBF" w:sz="1"/>
              <w:right w:val="single" w:color="BFBFBF" w:sz="1"/>
            </w:tcBorders>
            <w:shd w:fill="E6F4EA" w:val="clear"/>
            <w:tcMar>
              <w:top w:type="dxa" w:w="80"/>
              <w:left w:type="dxa" w:w="120"/>
              <w:bottom w:type="dxa" w:w="80"/>
              <w:right w:type="dxa" w:w="120"/>
            </w:tcMar>
            <w:vAlign w:val="center"/>
          </w:tcPr>
          <w:p>
            <w:pPr>
              <w:jc w:val="center"/>
            </w:pPr>
            <w:r>
              <w:rPr>
                <w:b/>
                <w:bCs/>
                <w:sz w:val="20"/>
                <w:szCs w:val="20"/>
              </w:rPr>
              <w:t xml:space="preserve">3</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Service &amp; Maintenance</w:t>
            </w:r>
          </w:p>
        </w:tc>
        <w:tc>
          <w:tcPr>
            <w:tcW w:type="dxa" w:w="187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User Interface &amp; Connectivity</w:t>
            </w:r>
          </w:p>
        </w:tc>
        <w:tc>
          <w:tcPr>
            <w:tcW w:type="dxa" w:w="475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Service logs; maintenance alerts; QR-code/service data; user maintenance notifications</w:t>
            </w:r>
          </w:p>
        </w:tc>
      </w:tr>
      <w:tr>
        <w:tc>
          <w:tcPr>
            <w:tcW w:type="dxa" w:w="624"/>
            <w:tcBorders>
              <w:top w:val="single" w:color="BFBFBF" w:sz="1"/>
              <w:left w:val="single" w:color="BFBFBF" w:sz="1"/>
              <w:bottom w:val="single" w:color="BFBFBF" w:sz="1"/>
              <w:right w:val="single" w:color="BFBFBF" w:sz="1"/>
            </w:tcBorders>
            <w:shd w:fill="E6F4EA" w:val="clear"/>
            <w:tcMar>
              <w:top w:type="dxa" w:w="80"/>
              <w:left w:type="dxa" w:w="120"/>
              <w:bottom w:type="dxa" w:w="80"/>
              <w:right w:type="dxa" w:w="120"/>
            </w:tcMar>
            <w:vAlign w:val="center"/>
          </w:tcPr>
          <w:p>
            <w:pPr>
              <w:jc w:val="center"/>
            </w:pPr>
            <w:r>
              <w:rPr>
                <w:b/>
                <w:bCs/>
                <w:sz w:val="20"/>
                <w:szCs w:val="20"/>
              </w:rPr>
              <w:t xml:space="preserve">3</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Enclosure &amp; Insulation</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User Interface &amp; Connectivity</w:t>
            </w:r>
          </w:p>
        </w:tc>
        <w:tc>
          <w:tcPr>
            <w:tcW w:type="dxa" w:w="475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Display mounting; external accessibility; UI cutouts/openings; Bluetooth signal considerations</w:t>
            </w:r>
          </w:p>
        </w:tc>
      </w:tr>
      <w:tr>
        <w:tc>
          <w:tcPr>
            <w:tcW w:type="dxa" w:w="624"/>
            <w:tcBorders>
              <w:top w:val="single" w:color="BFBFBF" w:sz="1"/>
              <w:left w:val="single" w:color="BFBFBF" w:sz="1"/>
              <w:bottom w:val="single" w:color="BFBFBF" w:sz="1"/>
              <w:right w:val="single" w:color="BFBFBF" w:sz="1"/>
            </w:tcBorders>
            <w:shd w:fill="E6F4EA" w:val="clear"/>
            <w:tcMar>
              <w:top w:type="dxa" w:w="80"/>
              <w:left w:type="dxa" w:w="120"/>
              <w:bottom w:type="dxa" w:w="80"/>
              <w:right w:type="dxa" w:w="120"/>
            </w:tcMar>
            <w:vAlign w:val="center"/>
          </w:tcPr>
          <w:p>
            <w:pPr>
              <w:jc w:val="center"/>
            </w:pPr>
            <w:r>
              <w:rPr>
                <w:b/>
                <w:bCs/>
                <w:sz w:val="20"/>
                <w:szCs w:val="20"/>
              </w:rPr>
              <w:t xml:space="preserve">3</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User Interface &amp; Connectivity</w:t>
            </w:r>
          </w:p>
        </w:tc>
        <w:tc>
          <w:tcPr>
            <w:tcW w:type="dxa" w:w="187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Sensing &amp; Control</w:t>
            </w:r>
          </w:p>
        </w:tc>
        <w:tc>
          <w:tcPr>
            <w:tcW w:type="dxa" w:w="475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Sensor data; alerts; commands; diagnostics; control logic outputs</w:t>
            </w:r>
          </w:p>
        </w:tc>
      </w:tr>
      <w:tr>
        <w:tc>
          <w:tcPr>
            <w:tcW w:type="dxa" w:w="624"/>
            <w:tcBorders>
              <w:top w:val="single" w:color="BFBFBF" w:sz="1"/>
              <w:left w:val="single" w:color="BFBFBF" w:sz="1"/>
              <w:bottom w:val="single" w:color="BFBFBF" w:sz="1"/>
              <w:right w:val="single" w:color="BFBFBF" w:sz="1"/>
            </w:tcBorders>
            <w:shd w:fill="E6F4EA" w:val="clear"/>
            <w:tcMar>
              <w:top w:type="dxa" w:w="80"/>
              <w:left w:type="dxa" w:w="120"/>
              <w:bottom w:type="dxa" w:w="80"/>
              <w:right w:type="dxa" w:w="120"/>
            </w:tcMar>
            <w:vAlign w:val="center"/>
          </w:tcPr>
          <w:p>
            <w:pPr>
              <w:jc w:val="center"/>
            </w:pPr>
            <w:r>
              <w:rPr>
                <w:b/>
                <w:bCs/>
                <w:sz w:val="20"/>
                <w:szCs w:val="20"/>
              </w:rPr>
              <w:t xml:space="preserve">3</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User Interface &amp; Connectivity</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Service &amp; Maintenance</w:t>
            </w:r>
          </w:p>
        </w:tc>
        <w:tc>
          <w:tcPr>
            <w:tcW w:type="dxa" w:w="475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Service logs; maintenance alerts; QR/service information; access panel coordination</w:t>
            </w:r>
          </w:p>
        </w:tc>
      </w:tr>
      <w:tr>
        <w:tc>
          <w:tcPr>
            <w:tcW w:type="dxa" w:w="624"/>
            <w:tcBorders>
              <w:top w:val="single" w:color="BFBFBF" w:sz="1"/>
              <w:left w:val="single" w:color="BFBFBF" w:sz="1"/>
              <w:bottom w:val="single" w:color="BFBFBF" w:sz="1"/>
              <w:right w:val="single" w:color="BFBFBF" w:sz="1"/>
            </w:tcBorders>
            <w:shd w:fill="E6F4EA" w:val="clear"/>
            <w:tcMar>
              <w:top w:type="dxa" w:w="80"/>
              <w:left w:type="dxa" w:w="120"/>
              <w:bottom w:type="dxa" w:w="80"/>
              <w:right w:type="dxa" w:w="120"/>
            </w:tcMar>
            <w:vAlign w:val="center"/>
          </w:tcPr>
          <w:p>
            <w:pPr>
              <w:jc w:val="center"/>
            </w:pPr>
            <w:r>
              <w:rPr>
                <w:b/>
                <w:bCs/>
                <w:sz w:val="20"/>
                <w:szCs w:val="20"/>
              </w:rPr>
              <w:t xml:space="preserve">3</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User Interface &amp; Connectivity</w:t>
            </w:r>
          </w:p>
        </w:tc>
        <w:tc>
          <w:tcPr>
            <w:tcW w:type="dxa" w:w="187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Enclosure &amp; Insulation</w:t>
            </w:r>
          </w:p>
        </w:tc>
        <w:tc>
          <w:tcPr>
            <w:tcW w:type="dxa" w:w="475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Display mounting; environmental sealing; external accessibility; device protection</w:t>
            </w:r>
          </w:p>
        </w:tc>
      </w:tr>
    </w:tbl>
    <w:p>
      <w:r>
        <w:t xml:space="preserve"/>
      </w:r>
    </w:p>
    <w:p>
      <w:pPr>
        <w:pStyle w:val="Heading3"/>
      </w:pPr>
      <w:r>
        <w:t xml:space="preserve">2.3.3  Coupling finding — the priority-1 core</w:t>
      </w:r>
    </w:p>
    <w:p>
      <w:pPr>
        <w:spacing w:after="120"/>
      </w:pPr>
      <w:r>
        <w:t xml:space="preserve">Three subsystems form a bidirectionally coupled cluster: Tank &amp; Pressure Management, Water Flow &amp; Delivery, and Sensing &amp; Control. Every pairing within this trio shows a Priority-1 dependency in both directions. This is the structural fact that drives every downstream decision in Develop:</w:t>
      </w:r>
    </w:p>
    <w:p>
      <w:pPr>
        <w:pStyle w:val="ListParagraph"/>
        <w:numPr>
          <w:ilvl w:val="0"/>
          <w:numId w:val="2"/>
        </w:numPr>
      </w:pPr>
      <w:r>
        <w:t xml:space="preserve">These three subsystems cannot be developed sequentially. Any attempt to finish one before starting the next will force rework in the other two.</w:t>
      </w:r>
    </w:p>
    <w:p>
      <w:pPr>
        <w:pStyle w:val="ListParagraph"/>
        <w:numPr>
          <w:ilvl w:val="0"/>
          <w:numId w:val="2"/>
        </w:numPr>
      </w:pPr>
      <w:r>
        <w:t xml:space="preserve">Their shared interfaces must be specified before component selection — i.e., interface control documents (ICDs) precede the BOM.</w:t>
      </w:r>
    </w:p>
    <w:p>
      <w:pPr>
        <w:pStyle w:val="ListParagraph"/>
        <w:numPr>
          <w:ilvl w:val="0"/>
          <w:numId w:val="2"/>
        </w:numPr>
      </w:pPr>
      <w:r>
        <w:t xml:space="preserve">DFMEA Steps 4–7 will inherit the same coupling: a failure mode in one of these three almost always has cross-subsystem effects, so failure analysis sessions must be run with all three owners present.</w:t>
      </w:r>
    </w:p>
    <w:p>
      <w:pPr>
        <w:pStyle w:val="ListParagraph"/>
        <w:numPr>
          <w:ilvl w:val="0"/>
          <w:numId w:val="2"/>
        </w:numPr>
      </w:pPr>
      <w:r>
        <w:t xml:space="preserve">Service &amp; Maintenance and Enclosure &amp; Insulation (Priority 2) couple bidirectionally with the core but with cleaner interface lines — they can move in parallel at lower iteration intensity.</w:t>
      </w:r>
    </w:p>
    <w:p>
      <w:pPr>
        <w:pStyle w:val="ListParagraph"/>
        <w:numPr>
          <w:ilvl w:val="0"/>
          <w:numId w:val="2"/>
        </w:numPr>
      </w:pPr>
      <w:r>
        <w:t xml:space="preserve">User Interface &amp; Connectivity (Priority 3) is a downstream consumer; it can be developed after upstream interfaces stabilize without creating rework risk.</w:t>
      </w:r>
    </w:p>
    <w:p>
      <w:r>
        <w:t xml:space="preserve"/>
      </w:r>
    </w:p>
    <w:p>
      <w:pPr>
        <w:pStyle w:val="Heading3"/>
      </w:pPr>
      <w:r>
        <w:t xml:space="preserve">2.3.4  Interface control priorities derived from DSM</w:t>
      </w:r>
    </w:p>
    <w:p>
      <w:pPr>
        <w:spacing w:after="100"/>
      </w:pPr>
      <w:r>
        <w:t xml:space="preserve">The DSM finding cashes out into a concrete set of ICDs to lock, in priority order. Locking these early is the mechanism by which the Develop stage controls the rework risk that the coupling implies.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
        <w:gridCol w:w="2808"/>
        <w:gridCol w:w="2808"/>
        <w:gridCol w:w="3042"/>
      </w:tblGrid>
      <w:tr>
        <w:tc>
          <w:tcPr>
            <w:tcW w:type="dxa" w:w="702"/>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Pri</w:t>
            </w:r>
          </w:p>
        </w:tc>
        <w:tc>
          <w:tcPr>
            <w:tcW w:type="dxa" w:w="2808"/>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Interface</w:t>
            </w:r>
          </w:p>
        </w:tc>
        <w:tc>
          <w:tcPr>
            <w:tcW w:type="dxa" w:w="2808"/>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Why it must lock early</w:t>
            </w:r>
          </w:p>
        </w:tc>
        <w:tc>
          <w:tcPr>
            <w:tcW w:type="dxa" w:w="3042"/>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Suggested ICD contents</w:t>
            </w:r>
          </w:p>
        </w:tc>
      </w:tr>
      <w:tr>
        <w:tc>
          <w:tcPr>
            <w:tcW w:type="dxa" w:w="702"/>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center"/>
          </w:tcPr>
          <w:p>
            <w:pPr>
              <w:jc w:val="center"/>
            </w:pPr>
            <w:r>
              <w:rPr>
                <w:b/>
                <w:bCs/>
                <w:sz w:val="20"/>
                <w:szCs w:val="20"/>
              </w:rPr>
              <w:t xml:space="preserve">1</w:t>
            </w:r>
          </w:p>
        </w:tc>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TPM ↔ WFD (hydraulic)</w:t>
            </w:r>
          </w:p>
        </w:tc>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Bidirectional material flow; sets pressure-class limits for both sides.</w:t>
            </w:r>
          </w:p>
        </w:tc>
        <w:tc>
          <w:tcPr>
            <w:tcW w:type="dxa" w:w="304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Port locations, thread/connector spec, pressure rating, surge margin, vent path</w:t>
            </w:r>
          </w:p>
        </w:tc>
      </w:tr>
      <w:tr>
        <w:tc>
          <w:tcPr>
            <w:tcW w:type="dxa" w:w="70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center"/>
            </w:pPr>
            <w:r>
              <w:rPr>
                <w:b/>
                <w:bCs/>
                <w:sz w:val="20"/>
                <w:szCs w:val="20"/>
              </w:rPr>
              <w:t xml:space="preserve">1</w:t>
            </w:r>
          </w:p>
        </w:tc>
        <w:tc>
          <w:tcPr>
            <w:tcW w:type="dxa" w:w="280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TPM ↔ SC (sensing)</w:t>
            </w:r>
          </w:p>
        </w:tc>
        <w:tc>
          <w:tcPr>
            <w:tcW w:type="dxa" w:w="280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Sensor mounting on pressure boundary; fault-signal availability shapes safety logic.</w:t>
            </w:r>
          </w:p>
        </w:tc>
        <w:tc>
          <w:tcPr>
            <w:tcW w:type="dxa" w:w="304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Sensor bosses, thermowells, signal conditioning, fault-bit mapping, calibration access</w:t>
            </w:r>
          </w:p>
        </w:tc>
      </w:tr>
      <w:tr>
        <w:tc>
          <w:tcPr>
            <w:tcW w:type="dxa" w:w="702"/>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center"/>
          </w:tcPr>
          <w:p>
            <w:pPr>
              <w:jc w:val="center"/>
            </w:pPr>
            <w:r>
              <w:rPr>
                <w:b/>
                <w:bCs/>
                <w:sz w:val="20"/>
                <w:szCs w:val="20"/>
              </w:rPr>
              <w:t xml:space="preserve">1</w:t>
            </w:r>
          </w:p>
        </w:tc>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WFD ↔ SC (actuation + flow sensing)</w:t>
            </w:r>
          </w:p>
        </w:tc>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Pump / valve drive and flow-sensor feedback are inside the control loop; coupling is tight.</w:t>
            </w:r>
          </w:p>
        </w:tc>
        <w:tc>
          <w:tcPr>
            <w:tcW w:type="dxa" w:w="304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Drive voltage/current limits, command latency budget, sensor refresh rate, leak-cutoff path</w:t>
            </w:r>
          </w:p>
        </w:tc>
      </w:tr>
      <w:tr>
        <w:tc>
          <w:tcPr>
            <w:tcW w:type="dxa" w:w="70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center"/>
            </w:pPr>
            <w:r>
              <w:rPr>
                <w:b/>
                <w:bCs/>
                <w:sz w:val="20"/>
                <w:szCs w:val="20"/>
              </w:rPr>
              <w:t xml:space="preserve">2</w:t>
            </w:r>
          </w:p>
        </w:tc>
        <w:tc>
          <w:tcPr>
            <w:tcW w:type="dxa" w:w="280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EI ↔ {TPM, WFD, SC}</w:t>
            </w:r>
          </w:p>
        </w:tc>
        <w:tc>
          <w:tcPr>
            <w:tcW w:type="dxa" w:w="280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Enclosure geometry depends on what it must contain; locking late forces rework of mounts and routing.</w:t>
            </w:r>
          </w:p>
        </w:tc>
        <w:tc>
          <w:tcPr>
            <w:tcW w:type="dxa" w:w="304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Mounting footprints, cable/pipe routing channels, thermal performance targets, IP-rating spec</w:t>
            </w:r>
          </w:p>
        </w:tc>
      </w:tr>
      <w:tr>
        <w:tc>
          <w:tcPr>
            <w:tcW w:type="dxa" w:w="702"/>
            <w:tcBorders>
              <w:top w:val="single" w:color="BFBFBF" w:sz="1"/>
              <w:left w:val="single" w:color="BFBFBF" w:sz="1"/>
              <w:bottom w:val="single" w:color="BFBFBF" w:sz="1"/>
              <w:right w:val="single" w:color="BFBFBF" w:sz="1"/>
            </w:tcBorders>
            <w:shd w:fill="FFF4D6" w:val="clear"/>
            <w:tcMar>
              <w:top w:type="dxa" w:w="80"/>
              <w:left w:type="dxa" w:w="120"/>
              <w:bottom w:type="dxa" w:w="80"/>
              <w:right w:type="dxa" w:w="120"/>
            </w:tcMar>
            <w:vAlign w:val="center"/>
          </w:tcPr>
          <w:p>
            <w:pPr>
              <w:jc w:val="center"/>
            </w:pPr>
            <w:r>
              <w:rPr>
                <w:b/>
                <w:bCs/>
                <w:sz w:val="20"/>
                <w:szCs w:val="20"/>
              </w:rPr>
              <w:t xml:space="preserve">2</w:t>
            </w:r>
          </w:p>
        </w:tc>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SM ↔ {TPM, WFD, SC}</w:t>
            </w:r>
          </w:p>
        </w:tc>
        <w:tc>
          <w:tcPr>
            <w:tcW w:type="dxa" w:w="28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Service access defines panel cutouts, drain routing, and component replaceability.</w:t>
            </w:r>
          </w:p>
        </w:tc>
        <w:tc>
          <w:tcPr>
            <w:tcW w:type="dxa" w:w="304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Access-panel positions, fastener strategy, isolation-valve locations, service intervals</w:t>
            </w:r>
          </w:p>
        </w:tc>
      </w:tr>
      <w:tr>
        <w:tc>
          <w:tcPr>
            <w:tcW w:type="dxa" w:w="70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center"/>
            </w:pPr>
            <w:r>
              <w:rPr>
                <w:b/>
                <w:bCs/>
                <w:sz w:val="20"/>
                <w:szCs w:val="20"/>
              </w:rPr>
              <w:t xml:space="preserve">3</w:t>
            </w:r>
          </w:p>
        </w:tc>
        <w:tc>
          <w:tcPr>
            <w:tcW w:type="dxa" w:w="280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UIC ↔ SC</w:t>
            </w:r>
          </w:p>
        </w:tc>
        <w:tc>
          <w:tcPr>
            <w:tcW w:type="dxa" w:w="280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Mostly downstream; can lock after the core ICDs stabilize.</w:t>
            </w:r>
          </w:p>
        </w:tc>
        <w:tc>
          <w:tcPr>
            <w:tcW w:type="dxa" w:w="304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Bluetooth protocol, message schema, alert taxonomy, display data refresh rate</w:t>
            </w:r>
          </w:p>
        </w:tc>
      </w:tr>
    </w:tbl>
    <w:p>
      <w:r>
        <w:br w:type="page"/>
      </w:r>
    </w:p>
    <w:p>
      <w:pPr>
        <w:pStyle w:val="Heading1"/>
      </w:pPr>
      <w:r>
        <w:t xml:space="preserve">3.  Step 3 — Function Analysis</w:t>
      </w:r>
    </w:p>
    <w:p>
      <w:pPr>
        <w:spacing w:after="160"/>
      </w:pPr>
      <w:r>
        <w:t xml:space="preserve">Function Analysis describes what each element in the structure is supposed to do. At this stage the analysis is at the subsystem level only; component-level function analysis is performed in Develop alongside Step 4 (Failure Analysis), populated into the Integrated Tracker workbook. This section is a first-pass and is flagged as TBD for refinement in the next review cycle.</w:t>
      </w:r>
    </w:p>
    <w:p>
      <w:pPr>
        <w:spacing w:after="200"/>
      </w:pPr>
      <w:r>
        <w:rPr>
          <w:i/>
          <w:iCs/>
          <w:color w:val="606060"/>
        </w:rPr>
        <w:t xml:space="preserve">Note: AIAG-VDA Function Analysis distinguishes between intended functions (what the design is supposed to do under nominal conditions) and required functions (what it must do under all permitted operating conditions). Both are captured below, though the boundary is sometimes implicit — the refinement pass should make it explicit per row.</w:t>
      </w:r>
    </w:p>
    <w:p>
      <w:pPr>
        <w:pStyle w:val="Heading2"/>
      </w:pPr>
      <w:r>
        <w:t xml:space="preserve">3.1  Subsystem-level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
        <w:gridCol w:w="2106"/>
        <w:gridCol w:w="6552"/>
      </w:tblGrid>
      <w:tr>
        <w:tc>
          <w:tcPr>
            <w:tcW w:type="dxa" w:w="702"/>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2106"/>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Subsystem</w:t>
            </w:r>
          </w:p>
        </w:tc>
        <w:tc>
          <w:tcPr>
            <w:tcW w:type="dxa" w:w="6552"/>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Subsystem-level functions</w:t>
            </w:r>
          </w:p>
        </w:tc>
      </w:tr>
      <w:tr>
        <w:tc>
          <w:tcPr>
            <w:tcW w:type="dxa" w:w="70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sz w:val="20"/>
                <w:szCs w:val="20"/>
              </w:rPr>
              <w:t xml:space="preserve">F-01 / F-02</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Tank &amp; Pressure Management</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 Store water at controlled pressure across two tanks</w:t>
            </w:r>
          </w:p>
          <w:p>
            <w:r>
              <w:rPr>
                <w:sz w:val="20"/>
                <w:szCs w:val="20"/>
              </w:rPr>
              <w:t xml:space="preserve">• Protect against overpressure (relief, venting, expansion accommodation)</w:t>
            </w:r>
          </w:p>
          <w:p>
            <w:r>
              <w:rPr>
                <w:sz w:val="20"/>
                <w:szCs w:val="20"/>
              </w:rPr>
              <w:t xml:space="preserve">• Damp hydraulic surges from pump cycling and demand spikes</w:t>
            </w:r>
          </w:p>
          <w:p>
            <w:r>
              <w:rPr>
                <w:sz w:val="20"/>
                <w:szCs w:val="20"/>
              </w:rPr>
              <w:t xml:space="preserve">• Provide mounting and measurement interfaces for sensing</w:t>
            </w:r>
          </w:p>
        </w:tc>
      </w:tr>
      <w:tr>
        <w:tc>
          <w:tcPr>
            <w:tcW w:type="dxa" w:w="70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center"/>
            </w:pPr>
            <w:r>
              <w:rPr>
                <w:b/>
                <w:bCs/>
                <w:sz w:val="20"/>
                <w:szCs w:val="20"/>
              </w:rPr>
              <w:t xml:space="preserve">F-02 / F-04</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Water Flow &amp; Delivery</w:t>
            </w:r>
          </w:p>
        </w:tc>
        <w:tc>
          <w:tcPr>
            <w:tcW w:type="dxa" w:w="655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r>
              <w:rPr>
                <w:sz w:val="20"/>
                <w:szCs w:val="20"/>
              </w:rPr>
              <w:t xml:space="preserve">• Capture moisture from inlet air through the condensation module</w:t>
            </w:r>
          </w:p>
          <w:p>
            <w:r>
              <w:rPr>
                <w:sz w:val="20"/>
                <w:szCs w:val="20"/>
              </w:rPr>
              <w:t xml:space="preserve">• Filter and route water to and from the storage tanks</w:t>
            </w:r>
          </w:p>
          <w:p>
            <w:r>
              <w:rPr>
                <w:sz w:val="20"/>
                <w:szCs w:val="20"/>
              </w:rPr>
              <w:t xml:space="preserve">• Move water on demand via the pump and valve network</w:t>
            </w:r>
          </w:p>
          <w:p>
            <w:r>
              <w:rPr>
                <w:sz w:val="20"/>
                <w:szCs w:val="20"/>
              </w:rPr>
              <w:t xml:space="preserve">• Deliver hot water to the outlet at required pressure and flow</w:t>
            </w:r>
          </w:p>
        </w:tc>
      </w:tr>
      <w:tr>
        <w:tc>
          <w:tcPr>
            <w:tcW w:type="dxa" w:w="70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sz w:val="20"/>
                <w:szCs w:val="20"/>
              </w:rPr>
              <w:t xml:space="preserve">F-05 to F-11</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Sensing &amp; Control</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 Measure tank temperature, pressure, level, and ambient humidity</w:t>
            </w:r>
          </w:p>
          <w:p>
            <w:r>
              <w:rPr>
                <w:sz w:val="20"/>
                <w:szCs w:val="20"/>
              </w:rPr>
              <w:t xml:space="preserve">• Close control loops for heating, pumping, and valve actuation</w:t>
            </w:r>
          </w:p>
          <w:p>
            <w:r>
              <w:rPr>
                <w:sz w:val="20"/>
                <w:szCs w:val="20"/>
              </w:rPr>
              <w:t xml:space="preserve">• Enforce safety interlocks (over-temp cutoff, dry-run protection, overpressure trip)</w:t>
            </w:r>
          </w:p>
          <w:p>
            <w:r>
              <w:rPr>
                <w:sz w:val="20"/>
                <w:szCs w:val="20"/>
              </w:rPr>
              <w:t xml:space="preserve">• Produce diagnostic data, error codes, and event logs for downstream consumers</w:t>
            </w:r>
          </w:p>
        </w:tc>
      </w:tr>
      <w:tr>
        <w:tc>
          <w:tcPr>
            <w:tcW w:type="dxa" w:w="70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center"/>
            </w:pPr>
            <w:r>
              <w:rPr>
                <w:b/>
                <w:bCs/>
                <w:sz w:val="20"/>
                <w:szCs w:val="20"/>
              </w:rPr>
              <w:t xml:space="preserve">F-03 / F-13</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Service &amp; Maintenance</w:t>
            </w:r>
          </w:p>
        </w:tc>
        <w:tc>
          <w:tcPr>
            <w:tcW w:type="dxa" w:w="655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r>
              <w:rPr>
                <w:sz w:val="20"/>
                <w:szCs w:val="20"/>
              </w:rPr>
              <w:t xml:space="preserve">• Provide physical access to tanks, valves, pumps, sensors, and electronics</w:t>
            </w:r>
          </w:p>
          <w:p>
            <w:r>
              <w:rPr>
                <w:sz w:val="20"/>
                <w:szCs w:val="20"/>
              </w:rPr>
              <w:t xml:space="preserve">• Isolate and drain sections of the system for service</w:t>
            </w:r>
          </w:p>
          <w:p>
            <w:r>
              <w:rPr>
                <w:sz w:val="20"/>
                <w:szCs w:val="20"/>
              </w:rPr>
              <w:t xml:space="preserve">• Enable descaling, cleaning, and consumable replacement on serviceable intervals</w:t>
            </w:r>
          </w:p>
          <w:p>
            <w:r>
              <w:rPr>
                <w:sz w:val="20"/>
                <w:szCs w:val="20"/>
              </w:rPr>
              <w:t xml:space="preserve">• Surface service logs and maintenance alerts to the user/technician</w:t>
            </w:r>
          </w:p>
        </w:tc>
      </w:tr>
      <w:tr>
        <w:tc>
          <w:tcPr>
            <w:tcW w:type="dxa" w:w="70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sz w:val="20"/>
                <w:szCs w:val="20"/>
              </w:rPr>
              <w:t xml:space="preserve">F-12</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bCs/>
                <w:sz w:val="20"/>
                <w:szCs w:val="20"/>
              </w:rPr>
              <w:t xml:space="preserve">Enclosure &amp; Insulation</w:t>
            </w:r>
          </w:p>
        </w:tc>
        <w:tc>
          <w:tcPr>
            <w:tcW w:type="dxa" w:w="6552"/>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 Provide mechanical protection and structural integrity for internal assemblies</w:t>
            </w:r>
          </w:p>
          <w:p>
            <w:r>
              <w:rPr>
                <w:sz w:val="20"/>
                <w:szCs w:val="20"/>
              </w:rPr>
              <w:t xml:space="preserve">• Retain thermal energy in stored hot water (insulation performance)</w:t>
            </w:r>
          </w:p>
          <w:p>
            <w:r>
              <w:rPr>
                <w:sz w:val="20"/>
                <w:szCs w:val="20"/>
              </w:rPr>
              <w:t xml:space="preserve">• Resist moisture, dust, and condensation ingress; manage condensation runoff</w:t>
            </w:r>
          </w:p>
          <w:p>
            <w:r>
              <w:rPr>
                <w:sz w:val="20"/>
                <w:szCs w:val="20"/>
              </w:rPr>
              <w:t xml:space="preserve">• Route wiring, piping, and provide mounting surfaces for sensors, displays, and service hatches</w:t>
            </w:r>
          </w:p>
        </w:tc>
      </w:tr>
      <w:tr>
        <w:tc>
          <w:tcPr>
            <w:tcW w:type="dxa" w:w="70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center"/>
            </w:pPr>
            <w:r>
              <w:rPr>
                <w:b/>
                <w:bCs/>
                <w:sz w:val="20"/>
                <w:szCs w:val="20"/>
              </w:rPr>
              <w:t xml:space="preserve">F-10 / F-14</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b/>
                <w:bCs/>
                <w:sz w:val="20"/>
                <w:szCs w:val="20"/>
              </w:rPr>
              <w:t xml:space="preserve">User Interface &amp; Connectivity</w:t>
            </w:r>
          </w:p>
        </w:tc>
        <w:tc>
          <w:tcPr>
            <w:tcW w:type="dxa" w:w="6552"/>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r>
              <w:rPr>
                <w:sz w:val="20"/>
                <w:szCs w:val="20"/>
              </w:rPr>
              <w:t xml:space="preserve">• Display system status, temperatures, and alerts on the local indicator/display</w:t>
            </w:r>
          </w:p>
          <w:p>
            <w:r>
              <w:rPr>
                <w:sz w:val="20"/>
                <w:szCs w:val="20"/>
              </w:rPr>
              <w:t xml:space="preserve">• Accept user setpoints, schedules, and service confirmations via display and app</w:t>
            </w:r>
          </w:p>
          <w:p>
            <w:r>
              <w:rPr>
                <w:sz w:val="20"/>
                <w:szCs w:val="20"/>
              </w:rPr>
              <w:t xml:space="preserve">• Communicate over Bluetooth to the mobile application</w:t>
            </w:r>
          </w:p>
          <w:p>
            <w:r>
              <w:rPr>
                <w:sz w:val="20"/>
                <w:szCs w:val="20"/>
              </w:rPr>
              <w:t xml:space="preserve">• Surface maintenance prompts and service-log access via QR-coded data</w:t>
            </w:r>
          </w:p>
        </w:tc>
      </w:tr>
    </w:tbl>
    <w:p>
      <w:r>
        <w:t xml:space="preserve"/>
      </w:r>
    </w:p>
    <w:p>
      <w:pPr>
        <w:pStyle w:val="Heading2"/>
      </w:pPr>
      <w:r>
        <w:t xml:space="preserve">3.2  Inter-subsystem function flows</w:t>
      </w:r>
    </w:p>
    <w:p>
      <w:pPr>
        <w:spacing w:after="160"/>
      </w:pPr>
      <w:r>
        <w:t xml:space="preserve">Subsystems do not function in isolation; each performs its job partly through what it sends to or receives from another. The flow table catalogues these inter-subsystem exchanges, mapped to the DSM dependencies in §2.3.2. Together with the boundary I/O in §2.1, this gives a complete picture of what must work for the system to deliver hot water on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106"/>
        <w:gridCol w:w="2106"/>
        <w:gridCol w:w="1170"/>
        <w:gridCol w:w="3510"/>
      </w:tblGrid>
      <w:tr>
        <w:tc>
          <w:tcPr>
            <w:tcW w:type="dxa" w:w="468"/>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2106"/>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Source subsystem</w:t>
            </w:r>
          </w:p>
        </w:tc>
        <w:tc>
          <w:tcPr>
            <w:tcW w:type="dxa" w:w="2106"/>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Destination subsystem</w:t>
            </w:r>
          </w:p>
        </w:tc>
        <w:tc>
          <w:tcPr>
            <w:tcW w:type="dxa" w:w="117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Flow type</w:t>
            </w:r>
          </w:p>
        </w:tc>
        <w:tc>
          <w:tcPr>
            <w:tcW w:type="dxa" w:w="351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Function flow content</w:t>
            </w:r>
          </w:p>
        </w:tc>
      </w:tr>
      <w:tr>
        <w:tc>
          <w:tcPr>
            <w:tcW w:type="dxa" w:w="46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sz w:val="20"/>
                <w:szCs w:val="20"/>
              </w:rPr>
              <w:t xml:space="preserve">1</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Tank &amp; Pressure Mgmt</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Sensing &amp; Control</w:t>
            </w:r>
          </w:p>
        </w:tc>
        <w:tc>
          <w:tcPr>
            <w:tcW w:type="dxa" w:w="117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Information</w:t>
            </w:r>
          </w:p>
        </w:tc>
        <w:tc>
          <w:tcPr>
            <w:tcW w:type="dxa" w:w="351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Pressure readings, tank level data, temperature feedback, relief-valve status, fault signals</w:t>
            </w:r>
          </w:p>
        </w:tc>
      </w:tr>
      <w:tr>
        <w:tc>
          <w:tcPr>
            <w:tcW w:type="dxa" w:w="46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center"/>
            </w:pPr>
            <w:r>
              <w:rPr>
                <w:b/>
                <w:bCs/>
                <w:sz w:val="20"/>
                <w:szCs w:val="20"/>
              </w:rPr>
              <w:t xml:space="preserve">2</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Sensing &amp; Control</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Tank &amp; Pressure Mgmt</w:t>
            </w:r>
          </w:p>
        </w:tc>
        <w:tc>
          <w:tcPr>
            <w:tcW w:type="dxa" w:w="117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center"/>
            </w:pPr>
            <w:r>
              <w:rPr>
                <w:sz w:val="20"/>
                <w:szCs w:val="20"/>
              </w:rPr>
              <w:t xml:space="preserve">Physical / energy</w:t>
            </w:r>
          </w:p>
        </w:tc>
        <w:tc>
          <w:tcPr>
            <w:tcW w:type="dxa" w:w="351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Sensor mounting demands, actuator commands to relief/vent components</w:t>
            </w:r>
          </w:p>
        </w:tc>
      </w:tr>
      <w:tr>
        <w:tc>
          <w:tcPr>
            <w:tcW w:type="dxa" w:w="46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sz w:val="20"/>
                <w:szCs w:val="20"/>
              </w:rPr>
              <w:t xml:space="preserve">3</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Water Flow &amp; Delivery</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Tank &amp; Pressure Mgmt</w:t>
            </w:r>
          </w:p>
        </w:tc>
        <w:tc>
          <w:tcPr>
            <w:tcW w:type="dxa" w:w="117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Material</w:t>
            </w:r>
          </w:p>
        </w:tc>
        <w:tc>
          <w:tcPr>
            <w:tcW w:type="dxa" w:w="351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Captured water inflow, inter-tank transfer, outlet draw from tanks</w:t>
            </w:r>
          </w:p>
        </w:tc>
      </w:tr>
      <w:tr>
        <w:tc>
          <w:tcPr>
            <w:tcW w:type="dxa" w:w="46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center"/>
            </w:pPr>
            <w:r>
              <w:rPr>
                <w:b/>
                <w:bCs/>
                <w:sz w:val="20"/>
                <w:szCs w:val="20"/>
              </w:rPr>
              <w:t xml:space="preserve">4</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Tank &amp; Pressure Mgmt</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Water Flow &amp; Delivery</w:t>
            </w:r>
          </w:p>
        </w:tc>
        <w:tc>
          <w:tcPr>
            <w:tcW w:type="dxa" w:w="117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center"/>
            </w:pPr>
            <w:r>
              <w:rPr>
                <w:sz w:val="20"/>
                <w:szCs w:val="20"/>
              </w:rPr>
              <w:t xml:space="preserve">Material / energy</w:t>
            </w:r>
          </w:p>
        </w:tc>
        <w:tc>
          <w:tcPr>
            <w:tcW w:type="dxa" w:w="351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Pressure boundary condition for pump/valve operation; surge response</w:t>
            </w:r>
          </w:p>
        </w:tc>
      </w:tr>
      <w:tr>
        <w:tc>
          <w:tcPr>
            <w:tcW w:type="dxa" w:w="46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sz w:val="20"/>
                <w:szCs w:val="20"/>
              </w:rPr>
              <w:t xml:space="preserve">5</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Water Flow &amp; Delivery</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Sensing &amp; Control</w:t>
            </w:r>
          </w:p>
        </w:tc>
        <w:tc>
          <w:tcPr>
            <w:tcW w:type="dxa" w:w="117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Information</w:t>
            </w:r>
          </w:p>
        </w:tc>
        <w:tc>
          <w:tcPr>
            <w:tcW w:type="dxa" w:w="351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Flow sensor data, pump-state feedback, valve-position feedback, leak detection alerts</w:t>
            </w:r>
          </w:p>
        </w:tc>
      </w:tr>
      <w:tr>
        <w:tc>
          <w:tcPr>
            <w:tcW w:type="dxa" w:w="46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center"/>
            </w:pPr>
            <w:r>
              <w:rPr>
                <w:b/>
                <w:bCs/>
                <w:sz w:val="20"/>
                <w:szCs w:val="20"/>
              </w:rPr>
              <w:t xml:space="preserve">6</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Sensing &amp; Control</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Water Flow &amp; Delivery</w:t>
            </w:r>
          </w:p>
        </w:tc>
        <w:tc>
          <w:tcPr>
            <w:tcW w:type="dxa" w:w="117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center"/>
            </w:pPr>
            <w:r>
              <w:rPr>
                <w:sz w:val="20"/>
                <w:szCs w:val="20"/>
              </w:rPr>
              <w:t xml:space="preserve">Information / energy</w:t>
            </w:r>
          </w:p>
        </w:tc>
        <w:tc>
          <w:tcPr>
            <w:tcW w:type="dxa" w:w="351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Pump enable/disable, valve actuation, leak-detection cutoff</w:t>
            </w:r>
          </w:p>
        </w:tc>
      </w:tr>
      <w:tr>
        <w:tc>
          <w:tcPr>
            <w:tcW w:type="dxa" w:w="46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sz w:val="20"/>
                <w:szCs w:val="20"/>
              </w:rPr>
              <w:t xml:space="preserve">7</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Sensing &amp; Control</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UI &amp; Connectivity</w:t>
            </w:r>
          </w:p>
        </w:tc>
        <w:tc>
          <w:tcPr>
            <w:tcW w:type="dxa" w:w="117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Information</w:t>
            </w:r>
          </w:p>
        </w:tc>
        <w:tc>
          <w:tcPr>
            <w:tcW w:type="dxa" w:w="351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Sensor data, alerts, control state, diagnostic codes for display and app</w:t>
            </w:r>
          </w:p>
        </w:tc>
      </w:tr>
      <w:tr>
        <w:tc>
          <w:tcPr>
            <w:tcW w:type="dxa" w:w="46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center"/>
            </w:pPr>
            <w:r>
              <w:rPr>
                <w:b/>
                <w:bCs/>
                <w:sz w:val="20"/>
                <w:szCs w:val="20"/>
              </w:rPr>
              <w:t xml:space="preserve">8</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UI &amp; Connectivity</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Sensing &amp; Control</w:t>
            </w:r>
          </w:p>
        </w:tc>
        <w:tc>
          <w:tcPr>
            <w:tcW w:type="dxa" w:w="117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center"/>
            </w:pPr>
            <w:r>
              <w:rPr>
                <w:sz w:val="20"/>
                <w:szCs w:val="20"/>
              </w:rPr>
              <w:t xml:space="preserve">Information</w:t>
            </w:r>
          </w:p>
        </w:tc>
        <w:tc>
          <w:tcPr>
            <w:tcW w:type="dxa" w:w="351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User commands, setpoints, schedules, calibration confirmations</w:t>
            </w:r>
          </w:p>
        </w:tc>
      </w:tr>
      <w:tr>
        <w:tc>
          <w:tcPr>
            <w:tcW w:type="dxa" w:w="46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bCs/>
                <w:sz w:val="20"/>
                <w:szCs w:val="20"/>
              </w:rPr>
              <w:t xml:space="preserve">9</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Service &amp; Maintenance</w:t>
            </w:r>
          </w:p>
        </w:tc>
        <w:tc>
          <w:tcPr>
            <w:tcW w:type="dxa" w:w="21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TPM / WFD / SC</w:t>
            </w:r>
          </w:p>
        </w:tc>
        <w:tc>
          <w:tcPr>
            <w:tcW w:type="dxa" w:w="117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Physical / access</w:t>
            </w:r>
          </w:p>
        </w:tc>
        <w:tc>
          <w:tcPr>
            <w:tcW w:type="dxa" w:w="351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Access for cleaning, draining, descaling, diagnostic-port use, fitting replacement</w:t>
            </w:r>
          </w:p>
        </w:tc>
      </w:tr>
      <w:tr>
        <w:tc>
          <w:tcPr>
            <w:tcW w:type="dxa" w:w="468"/>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center"/>
            </w:pPr>
            <w:r>
              <w:rPr>
                <w:b/>
                <w:bCs/>
                <w:sz w:val="20"/>
                <w:szCs w:val="20"/>
              </w:rPr>
              <w:t xml:space="preserve">10</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Enclosure &amp; Insulation</w:t>
            </w:r>
          </w:p>
        </w:tc>
        <w:tc>
          <w:tcPr>
            <w:tcW w:type="dxa" w:w="2106"/>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TPM / WFD / SC</w:t>
            </w:r>
          </w:p>
        </w:tc>
        <w:tc>
          <w:tcPr>
            <w:tcW w:type="dxa" w:w="117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center"/>
            </w:pPr>
            <w:r>
              <w:rPr>
                <w:sz w:val="20"/>
                <w:szCs w:val="20"/>
              </w:rPr>
              <w:t xml:space="preserve">Physical / thermal</w:t>
            </w:r>
          </w:p>
        </w:tc>
        <w:tc>
          <w:tcPr>
            <w:tcW w:type="dxa" w:w="351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pPr>
              <w:jc w:val="left"/>
            </w:pPr>
            <w:r>
              <w:rPr>
                <w:sz w:val="20"/>
                <w:szCs w:val="20"/>
              </w:rPr>
              <w:t xml:space="preserve">Mounting support, wiring routes, pipe sealing, thermal envelope, EMI shielding</w:t>
            </w:r>
          </w:p>
        </w:tc>
      </w:tr>
    </w:tbl>
    <w:p>
      <w:r>
        <w:t xml:space="preserve"/>
      </w:r>
    </w:p>
    <w:p>
      <w:pPr>
        <w:pStyle w:val="Heading2"/>
      </w:pPr>
      <w:r>
        <w:t xml:space="preserve">3.3  Open items for the refinement pass (TBD)</w:t>
      </w:r>
    </w:p>
    <w:p>
      <w:pPr>
        <w:pStyle w:val="ListParagraph"/>
        <w:numPr>
          <w:ilvl w:val="0"/>
          <w:numId w:val="2"/>
        </w:numPr>
      </w:pPr>
      <w:r>
        <w:t xml:space="preserve">Distinguish intended vs required functions explicitly per row in §3.1.</w:t>
      </w:r>
    </w:p>
    <w:p>
      <w:pPr>
        <w:pStyle w:val="ListParagraph"/>
        <w:numPr>
          <w:ilvl w:val="0"/>
          <w:numId w:val="2"/>
        </w:numPr>
      </w:pPr>
      <w:r>
        <w:t xml:space="preserve">Add failure consequence severity hints at the subsystem level (informal preview of Step 5 severities) so Develop has a head start.</w:t>
      </w:r>
    </w:p>
    <w:p>
      <w:pPr>
        <w:pStyle w:val="ListParagraph"/>
        <w:numPr>
          <w:ilvl w:val="0"/>
          <w:numId w:val="2"/>
        </w:numPr>
      </w:pPr>
      <w:r>
        <w:t xml:space="preserve">Cross-check every F-01…F-14 function ID against PRD requirements to ensure each PRD requirement is realized by exactly one identified function.</w:t>
      </w:r>
    </w:p>
    <w:p>
      <w:pPr>
        <w:pStyle w:val="ListParagraph"/>
        <w:numPr>
          <w:ilvl w:val="0"/>
          <w:numId w:val="2"/>
        </w:numPr>
      </w:pPr>
      <w:r>
        <w:t xml:space="preserve">Confirm function-flow direction with the firmware/control architecture once the control-loop block diagram is signed off.</w:t>
      </w:r>
    </w:p>
    <w:p>
      <w:pPr>
        <w:pStyle w:val="ListParagraph"/>
        <w:numPr>
          <w:ilvl w:val="0"/>
          <w:numId w:val="2"/>
        </w:numPr>
      </w:pPr>
      <w:r>
        <w:t xml:space="preserve">Add the software/firmware function layer once a separate Software FMEA scope is agreed.</w:t>
      </w:r>
    </w:p>
    <w:p>
      <w:r>
        <w:br w:type="page"/>
      </w:r>
    </w:p>
    <w:p>
      <w:pPr>
        <w:pStyle w:val="Heading1"/>
      </w:pPr>
      <w:r>
        <w:t xml:space="preserve">4.  Handoff to Develop</w:t>
      </w:r>
    </w:p>
    <w:p>
      <w:pPr>
        <w:spacing w:after="160"/>
      </w:pPr>
      <w:r>
        <w:t xml:space="preserve">This section makes explicit what stays inside this document, what crosses Gateway 2 as part of the Define-stage commitment bundle, and what the Develop stage inherits as inbound work. The DSM finding in §2.3.3 is the single most consequential output for Develop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Stays in Define (this document)</w:t>
            </w:r>
          </w:p>
        </w:tc>
        <w:tc>
          <w:tcPr>
            <w:tcW w:type="dxa" w:w="312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Crosses Gateway 2 (PRD bundle)</w:t>
            </w:r>
          </w:p>
        </w:tc>
        <w:tc>
          <w:tcPr>
            <w:tcW w:type="dxa" w:w="312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vAlign w:val="center"/>
          </w:tcPr>
          <w:p>
            <w:pPr>
              <w:jc w:val="center"/>
            </w:pPr>
            <w:r>
              <w:rPr>
                <w:b/>
                <w:bCs/>
                <w:color w:val="FFFFFF"/>
                <w:sz w:val="20"/>
                <w:szCs w:val="20"/>
              </w:rPr>
              <w:t xml:space="preserve">Becomes Develop-stage work (DFMEA 4–7)</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 System boundary (Level 1)</w:t>
            </w:r>
          </w:p>
          <w:p>
            <w:r>
              <w:rPr>
                <w:sz w:val="20"/>
                <w:szCs w:val="20"/>
              </w:rPr>
              <w:t xml:space="preserve">• Subsystem decomposition</w:t>
            </w:r>
          </w:p>
          <w:p>
            <w:r>
              <w:rPr>
                <w:sz w:val="20"/>
                <w:szCs w:val="20"/>
              </w:rPr>
              <w:t xml:space="preserve">• Subsystem-level functions</w:t>
            </w:r>
          </w:p>
          <w:p>
            <w:r>
              <w:rPr>
                <w:sz w:val="20"/>
                <w:szCs w:val="20"/>
              </w:rPr>
              <w:t xml:space="preserve">• Inter-subsystem function flows</w:t>
            </w:r>
          </w:p>
          <w:p>
            <w:r>
              <w:rPr>
                <w:sz w:val="20"/>
                <w:szCs w:val="20"/>
              </w:rPr>
              <w:t xml:space="preserve">• DSM coupling map</w:t>
            </w:r>
          </w:p>
        </w:tc>
        <w:tc>
          <w:tcPr>
            <w:tcW w:type="dxa" w:w="3120"/>
            <w:tcBorders>
              <w:top w:val="single" w:color="BFBFBF" w:sz="1"/>
              <w:left w:val="single" w:color="BFBFBF" w:sz="1"/>
              <w:bottom w:val="single" w:color="BFBFBF" w:sz="1"/>
              <w:right w:val="single" w:color="BFBFBF" w:sz="1"/>
            </w:tcBorders>
            <w:shd w:fill="F7F9FC" w:val="clear"/>
            <w:tcMar>
              <w:top w:type="dxa" w:w="80"/>
              <w:left w:type="dxa" w:w="120"/>
              <w:bottom w:type="dxa" w:w="80"/>
              <w:right w:type="dxa" w:w="120"/>
            </w:tcMar>
            <w:vAlign w:val="center"/>
          </w:tcPr>
          <w:p>
            <w:r>
              <w:rPr>
                <w:sz w:val="20"/>
                <w:szCs w:val="20"/>
              </w:rPr>
              <w:t xml:space="preserve">• Engineering PRD</w:t>
            </w:r>
          </w:p>
          <w:p>
            <w:r>
              <w:rPr>
                <w:sz w:val="20"/>
                <w:szCs w:val="20"/>
              </w:rPr>
              <w:t xml:space="preserve">• DFMEA Steps 1–3 summary</w:t>
            </w:r>
          </w:p>
          <w:p>
            <w:r>
              <w:rPr>
                <w:sz w:val="20"/>
                <w:szCs w:val="20"/>
              </w:rPr>
              <w:t xml:space="preserve">• DSM priority finding (the coupled core)</w:t>
            </w:r>
          </w:p>
          <w:p>
            <w:r>
              <w:rPr>
                <w:sz w:val="20"/>
                <w:szCs w:val="20"/>
              </w:rPr>
              <w:t xml:space="preserve">• Final ID render (industrial design commitment)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sz w:val="20"/>
                <w:szCs w:val="20"/>
              </w:rPr>
              <w:t xml:space="preserve">• Component decomposition of the coupled core</w:t>
            </w:r>
          </w:p>
          <w:p>
            <w:r>
              <w:rPr>
                <w:sz w:val="20"/>
                <w:szCs w:val="20"/>
              </w:rPr>
              <w:t xml:space="preserve">• Step 4 Failure analysis (component-level)</w:t>
            </w:r>
          </w:p>
          <w:p>
            <w:r>
              <w:rPr>
                <w:sz w:val="20"/>
                <w:szCs w:val="20"/>
              </w:rPr>
              <w:t xml:space="preserve">• Step 5 Risk analysis (S/O/D, AIAG-VDA AP)</w:t>
            </w:r>
          </w:p>
          <w:p>
            <w:r>
              <w:rPr>
                <w:sz w:val="20"/>
                <w:szCs w:val="20"/>
              </w:rPr>
              <w:t xml:space="preserve">• Step 6 Optimization (Proto 2 actions)</w:t>
            </w:r>
          </w:p>
          <w:p>
            <w:r>
              <w:rPr>
                <w:sz w:val="20"/>
                <w:szCs w:val="20"/>
              </w:rPr>
              <w:t xml:space="preserve">• Step 7 Documentation</w:t>
            </w:r>
          </w:p>
        </w:tc>
      </w:tr>
    </w:tbl>
    <w:p>
      <w:r>
        <w:t xml:space="preserve"/>
      </w:r>
    </w:p>
    <w:p>
      <w:pPr>
        <w:pStyle w:val="Heading2"/>
      </w:pPr>
      <w:r>
        <w:t xml:space="preserve">4.1  Develop-stage entry checklist</w:t>
      </w:r>
    </w:p>
    <w:p>
      <w:pPr>
        <w:pStyle w:val="ListParagraph"/>
        <w:numPr>
          <w:ilvl w:val="0"/>
          <w:numId w:val="2"/>
        </w:numPr>
      </w:pPr>
      <w:r>
        <w:t xml:space="preserve">Component decomposition begins with the three priority-1 subsystems, run in parallel.</w:t>
      </w:r>
    </w:p>
    <w:p>
      <w:pPr>
        <w:pStyle w:val="ListParagraph"/>
        <w:numPr>
          <w:ilvl w:val="0"/>
          <w:numId w:val="2"/>
        </w:numPr>
      </w:pPr>
      <w:r>
        <w:t xml:space="preserve">ICDs from §2.3.4 are drafted before any component is selected; revisions tracked under change control.</w:t>
      </w:r>
    </w:p>
    <w:p>
      <w:pPr>
        <w:pStyle w:val="ListParagraph"/>
        <w:numPr>
          <w:ilvl w:val="0"/>
          <w:numId w:val="2"/>
        </w:numPr>
      </w:pPr>
      <w:r>
        <w:t xml:space="preserve">Master BOM is treated as a live document for Proto 1 → Proto 2, not a Define-stage deliverable.</w:t>
      </w:r>
    </w:p>
    <w:p>
      <w:pPr>
        <w:pStyle w:val="ListParagraph"/>
        <w:numPr>
          <w:ilvl w:val="0"/>
          <w:numId w:val="2"/>
        </w:numPr>
      </w:pPr>
      <w:r>
        <w:t xml:space="preserve">DFMEA Steps 4–7 are tracked in the Integrated Tracker workbook using AIAG-VDA 2019 Action Priority (H/M/L), not legacy RPN.</w:t>
      </w:r>
    </w:p>
    <w:p>
      <w:pPr>
        <w:pStyle w:val="ListParagraph"/>
        <w:numPr>
          <w:ilvl w:val="0"/>
          <w:numId w:val="2"/>
        </w:numPr>
      </w:pPr>
      <w:r>
        <w:t xml:space="preserve">All Step 3 TBD items in §3.3 are closed in the first Develop review cycle, before component selection for the coupled core.</w:t>
      </w:r>
    </w:p>
    <w:p>
      <w:r>
        <w:t xml:space="preserve"/>
      </w:r>
    </w:p>
    <w:p>
      <w:pPr>
        <w:jc w:val="center"/>
      </w:pPr>
      <w:r>
        <w:rPr>
          <w:i/>
          <w:iCs/>
          <w:color w:val="808080"/>
        </w:rPr>
        <w:t xml:space="preserve">— End of document —</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Rev A · Define Stage · 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4" w:space="4"/>
      </w:pBdr>
      <w:jc w:val="right"/>
    </w:pPr>
    <w:r>
      <w:rPr>
        <w:color w:val="1F3A5F"/>
        <w:sz w:val="18"/>
        <w:szCs w:val="18"/>
      </w:rPr>
      <w:t xml:space="preserve">DFMEA 1–3 with DSM · Twin-Tank Atmospheric Water Heater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DFMEA Steps 1–3 with DSM</dc:title>
  <dc:creator>Product Innovation Portfolio</dc:creator>
  <cp:lastModifiedBy>Un-named</cp:lastModifiedBy>
  <cp:revision>1</cp:revision>
  <dcterms:created xsi:type="dcterms:W3CDTF">2026-05-26T16:35:32.110Z</dcterms:created>
  <dcterms:modified xsi:type="dcterms:W3CDTF">2026-05-26T16:35:32.110Z</dcterms:modified>
</cp:coreProperties>
</file>

<file path=docProps/custom.xml><?xml version="1.0" encoding="utf-8"?>
<Properties xmlns="http://schemas.openxmlformats.org/officeDocument/2006/custom-properties" xmlns:vt="http://schemas.openxmlformats.org/officeDocument/2006/docPropsVTypes"/>
</file>