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0F74" w:rsidRDefault="004B53CC">
      <w:pPr>
        <w:spacing w:after="60"/>
      </w:pPr>
      <w:bookmarkStart w:id="0" w:name="_GoBack"/>
      <w:bookmarkEnd w:id="0"/>
      <w:r>
        <w:rPr>
          <w:b/>
          <w:bCs/>
          <w:color w:val="1F6E7E"/>
          <w:sz w:val="18"/>
          <w:szCs w:val="18"/>
        </w:rPr>
        <w:t>DEFINE · STAGE 02 · GATEWAY 2 COMMITMENT</w:t>
      </w:r>
    </w:p>
    <w:p w:rsidR="00A50F74" w:rsidRDefault="004B53CC">
      <w:pPr>
        <w:spacing w:after="80"/>
      </w:pPr>
      <w:r>
        <w:rPr>
          <w:b/>
          <w:bCs/>
          <w:color w:val="0E4D5C"/>
          <w:sz w:val="38"/>
          <w:szCs w:val="38"/>
        </w:rPr>
        <w:t>Engineering Product Requirements Document</w:t>
      </w:r>
    </w:p>
    <w:p w:rsidR="00A50F74" w:rsidRDefault="004B53CC">
      <w:pPr>
        <w:spacing w:after="280"/>
      </w:pPr>
      <w:r>
        <w:rPr>
          <w:i/>
          <w:iCs/>
          <w:color w:val="404040"/>
          <w:sz w:val="24"/>
          <w:szCs w:val="24"/>
        </w:rPr>
        <w:t>Twin-Tank Atmospheric Water Heater System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1ED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Document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Engineering Product Requirements Document (PRD)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1ED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Product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Twin-Tank Atmospheric Water Heater System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1ED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Define (Stage 02) — Gateway 2 commitment document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1ED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Revision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Rev A — Sample / draft for review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1ED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Upstream inputs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VPC, BMC, QFD Level 1, DFMEA Steps 1–3 with DSM, Future-state journey, Brainstorm with unmet-needs lenses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1ED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Downstream consumers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Develop stage — component decomposition, QFD L2/L3, BOM, DFMEA 4–7, CAD, prototypes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1ED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Convention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MoSCoW prioritization: Must (release blocker), Should (release goal), Could (stretch). Every requirement has a unique ID, a verifiable acceptance criterion, and</w:t>
            </w:r>
            <w:r>
              <w:rPr>
                <w:sz w:val="20"/>
                <w:szCs w:val="20"/>
              </w:rPr>
              <w:t xml:space="preserve"> a traceability link upstream and downstream.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1ED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Approval gate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This PRD, together with the DFMEA 1–3 + DSM document and the Final ID render, constitutes the Gateway 2 commitment bundle. Sign-off freezes the requirements baseline for Develop entry.</w:t>
            </w:r>
          </w:p>
        </w:tc>
      </w:tr>
    </w:tbl>
    <w:p w:rsidR="00A50F74" w:rsidRDefault="00A50F74"/>
    <w:p w:rsidR="00A50F74" w:rsidRDefault="004B53CC">
      <w:pPr>
        <w:pStyle w:val="Heading1"/>
      </w:pPr>
      <w:r>
        <w:t>1.  Exec</w:t>
      </w:r>
      <w:r>
        <w:t>utive summary</w:t>
      </w:r>
    </w:p>
    <w:p w:rsidR="00A50F74" w:rsidRDefault="004B53CC">
      <w:pPr>
        <w:spacing w:after="120"/>
      </w:pPr>
      <w:r>
        <w:t>This PRD specifies the requirements for a domestic appliance that captures water from ambient humid air, heats and stores it across two tanks, and delivers hot water on demand. It is the Gateway 2 commitment document for the Define stage: together with the</w:t>
      </w:r>
      <w:r>
        <w:t xml:space="preserve"> DFMEA Steps 1–3 (with DSM coupling analysis) and the final industrial-design render, it constitutes the requirements baseline that the Develop stage commits against.</w:t>
      </w:r>
    </w:p>
    <w:p w:rsidR="00A50F74" w:rsidRDefault="004B53CC">
      <w:pPr>
        <w:spacing w:after="120"/>
      </w:pPr>
      <w:r>
        <w:t>Three things make this product non-trivial. First, the architecture is a coupled core: th</w:t>
      </w:r>
      <w:r>
        <w:t>ree subsystems — Tank &amp; Pressure Management, Water Flow &amp; Delivery, and Sensing &amp; Control — depend bidirectionally on each other and must be co-developed. Second, safety is achieved through redundant independent paths, not through a single more-reliable pa</w:t>
      </w:r>
      <w:r>
        <w:t>th. Third, the value proposition combines source resilience (atmospheric capture + mains backup) with energy efficiency (twin-tank thermal management) — neither incumbent category does both.</w:t>
      </w:r>
    </w:p>
    <w:p w:rsidR="00A50F74" w:rsidRDefault="004B53CC">
      <w:pPr>
        <w:spacing w:after="200"/>
      </w:pPr>
      <w:r>
        <w:t>The quality and engineering requirements in §8 are derived from Q</w:t>
      </w:r>
      <w:r>
        <w:t>FD Level 1 and carry numeric targets; several target values remain TBD and are tracked in §14. Feature-level requirements with concrete measurable targets are catalogued in §7. The functional requirements in §6 trace to the F-01 through F-14 functions iden</w:t>
      </w:r>
      <w:r>
        <w:t>tified in DFMEA Step 3. Action Priority H items from DFMEA must be closed or formally deferred before any Proto 2 design freeze.</w:t>
      </w:r>
    </w:p>
    <w:p w:rsidR="00A50F74" w:rsidRDefault="004B53CC">
      <w:pPr>
        <w:pStyle w:val="Heading1"/>
      </w:pPr>
      <w:r>
        <w:t>2.  Product overview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1ED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The problem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Households in regions with intermittent municipal water and high humidity face two coupled pro</w:t>
            </w:r>
            <w:r>
              <w:rPr>
                <w:sz w:val="20"/>
                <w:szCs w:val="20"/>
              </w:rPr>
              <w:t xml:space="preserve">blems: (1) unreliable hot-water availability when mains supply is interrupted, and (2) high energy bills from conventional electric storage water </w:t>
            </w:r>
            <w:r>
              <w:rPr>
                <w:sz w:val="20"/>
                <w:szCs w:val="20"/>
              </w:rPr>
              <w:lastRenderedPageBreak/>
              <w:t>heaters that lose heat to ambient and over-cycle on standby. Existing atmospheric water generators address pot</w:t>
            </w:r>
            <w:r>
              <w:rPr>
                <w:sz w:val="20"/>
                <w:szCs w:val="20"/>
              </w:rPr>
              <w:t>able water but not hot-water-on-demand; existing smart water heaters address energy but not source resilience.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1ED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lastRenderedPageBreak/>
              <w:t>The product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A domestic appliance that captures water from ambient humid air, heats and stores it across two tanks, and delivers hot water on dem</w:t>
            </w:r>
            <w:r>
              <w:rPr>
                <w:sz w:val="20"/>
                <w:szCs w:val="20"/>
              </w:rPr>
              <w:t>and. Onboard sensing manages temperature, pressure, and level; a mobile app surfaces status and alerts; the enclosure is service-friendly with documented access for descaling, drain, and component replacement.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1ED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Why now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 xml:space="preserve">Condensation-based water capture has </w:t>
            </w:r>
            <w:r>
              <w:rPr>
                <w:sz w:val="20"/>
                <w:szCs w:val="20"/>
              </w:rPr>
              <w:t>matured cost-wise; embedded ML for usage-pattern learning is feasible on commodity MCUs; consumer acceptance of connected appliances is well past the early-adopter phase in target markets.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1ED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Why us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The competitive frame in adjacent categories (smart thermos</w:t>
            </w:r>
            <w:r>
              <w:rPr>
                <w:sz w:val="20"/>
                <w:szCs w:val="20"/>
              </w:rPr>
              <w:t>tats, instant water heaters, AWGs) is feature-led, not architecture-led. A twin-tank thermal-management architecture lets us deliver both source resilience and energy efficiency in one envelope — neither incumbent category does both.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1ED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Primary value proposition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Hot water that is always available, costs less to run, and tells you when it needs service before it fails.</w:t>
            </w:r>
          </w:p>
        </w:tc>
      </w:tr>
    </w:tbl>
    <w:p w:rsidR="00A50F74" w:rsidRDefault="004B53CC">
      <w:r>
        <w:br w:type="page"/>
      </w:r>
    </w:p>
    <w:p w:rsidR="00A50F74" w:rsidRDefault="004B53CC">
      <w:pPr>
        <w:pStyle w:val="Heading1"/>
      </w:pPr>
      <w:r>
        <w:lastRenderedPageBreak/>
        <w:t>3.  Goals and non-goals</w:t>
      </w:r>
    </w:p>
    <w:p w:rsidR="00A50F74" w:rsidRDefault="004B53CC">
      <w:pPr>
        <w:pStyle w:val="Heading2"/>
      </w:pPr>
      <w:r>
        <w:t>3.1  Goals</w:t>
      </w:r>
    </w:p>
    <w:p w:rsidR="00A50F74" w:rsidRDefault="004B53CC">
      <w:pPr>
        <w:pStyle w:val="ListParagraph"/>
        <w:numPr>
          <w:ilvl w:val="0"/>
          <w:numId w:val="2"/>
        </w:numPr>
      </w:pPr>
      <w:r>
        <w:t>Deliver hot water on demand to a single-household installation with availability tar</w:t>
      </w:r>
      <w:r>
        <w:t>gets that exceed conventional electric storage water heaters under intermittent-mains conditions.</w:t>
      </w:r>
    </w:p>
    <w:p w:rsidR="00A50F74" w:rsidRDefault="004B53CC">
      <w:pPr>
        <w:pStyle w:val="ListParagraph"/>
        <w:numPr>
          <w:ilvl w:val="0"/>
          <w:numId w:val="2"/>
        </w:numPr>
      </w:pPr>
      <w:r>
        <w:t>Cut annual energy consumption per litre of delivered hot water versus the incumbent electric storage baseline in the same usage profile.</w:t>
      </w:r>
    </w:p>
    <w:p w:rsidR="00A50F74" w:rsidRDefault="004B53CC">
      <w:pPr>
        <w:pStyle w:val="ListParagraph"/>
        <w:numPr>
          <w:ilvl w:val="0"/>
          <w:numId w:val="2"/>
        </w:numPr>
      </w:pPr>
      <w:r>
        <w:t>Provide a service exp</w:t>
      </w:r>
      <w:r>
        <w:t>erience where routine maintenance can be completed by the homeowner without specialist tools, and qualified service requires no more than one site visit per repair.</w:t>
      </w:r>
    </w:p>
    <w:p w:rsidR="00A50F74" w:rsidRDefault="004B53CC">
      <w:pPr>
        <w:pStyle w:val="ListParagraph"/>
        <w:numPr>
          <w:ilvl w:val="0"/>
          <w:numId w:val="2"/>
        </w:numPr>
      </w:pPr>
      <w:r>
        <w:t>Surface predictive maintenance alerts before failures cause loss of service.</w:t>
      </w:r>
    </w:p>
    <w:p w:rsidR="00A50F74" w:rsidRDefault="004B53CC">
      <w:pPr>
        <w:pStyle w:val="ListParagraph"/>
        <w:numPr>
          <w:ilvl w:val="0"/>
          <w:numId w:val="2"/>
        </w:numPr>
      </w:pPr>
      <w:r>
        <w:t>Pass all in-scope regulatory and safety standards on first formal certification submission.</w:t>
      </w:r>
    </w:p>
    <w:p w:rsidR="00A50F74" w:rsidRDefault="00A50F74"/>
    <w:p w:rsidR="00A50F74" w:rsidRDefault="004B53CC">
      <w:pPr>
        <w:pStyle w:val="Heading2"/>
      </w:pPr>
      <w:r>
        <w:t>3.2  Non-goals (this release)</w:t>
      </w:r>
    </w:p>
    <w:p w:rsidR="00A50F74" w:rsidRDefault="004B53CC">
      <w:pPr>
        <w:pStyle w:val="ListParagraph"/>
        <w:numPr>
          <w:ilvl w:val="0"/>
          <w:numId w:val="2"/>
        </w:numPr>
      </w:pPr>
      <w:r>
        <w:t>Outdoor-rated unsheltered installation (Proto 1/2 assumes a sheltered domestic enclosure).</w:t>
      </w:r>
    </w:p>
    <w:p w:rsidR="00A50F74" w:rsidRDefault="004B53CC">
      <w:pPr>
        <w:pStyle w:val="ListParagraph"/>
        <w:numPr>
          <w:ilvl w:val="0"/>
          <w:numId w:val="2"/>
        </w:numPr>
      </w:pPr>
      <w:r>
        <w:t>Multi-household / multi-tenant logic or shared-app accounts.</w:t>
      </w:r>
    </w:p>
    <w:p w:rsidR="00A50F74" w:rsidRDefault="004B53CC">
      <w:pPr>
        <w:pStyle w:val="ListParagraph"/>
        <w:numPr>
          <w:ilvl w:val="0"/>
          <w:numId w:val="2"/>
        </w:numPr>
      </w:pPr>
      <w:r>
        <w:t>Cloud connectivity, OTA firmware updates, voice-assistant integration (planned post-launch).</w:t>
      </w:r>
    </w:p>
    <w:p w:rsidR="00A50F74" w:rsidRDefault="004B53CC">
      <w:pPr>
        <w:pStyle w:val="ListParagraph"/>
        <w:numPr>
          <w:ilvl w:val="0"/>
          <w:numId w:val="2"/>
        </w:numPr>
      </w:pPr>
      <w:r>
        <w:t>Industrial or commercial-scale capacity beyond a single household's daily envelope.</w:t>
      </w:r>
    </w:p>
    <w:p w:rsidR="00A50F74" w:rsidRDefault="004B53CC">
      <w:pPr>
        <w:pStyle w:val="ListParagraph"/>
        <w:numPr>
          <w:ilvl w:val="0"/>
          <w:numId w:val="2"/>
        </w:numPr>
      </w:pPr>
      <w:r>
        <w:t>Off-grid solar-onl</w:t>
      </w:r>
      <w:r>
        <w:t>y operation in baseline product; solar input is a future variant.</w:t>
      </w:r>
    </w:p>
    <w:p w:rsidR="00A50F74" w:rsidRDefault="00A50F74"/>
    <w:p w:rsidR="00A50F74" w:rsidRDefault="004B53CC">
      <w:pPr>
        <w:pStyle w:val="Heading1"/>
      </w:pPr>
      <w:r>
        <w:t>4.  Personas and jobs to be done</w:t>
      </w:r>
    </w:p>
    <w:p w:rsidR="00A50F74" w:rsidRDefault="004B53CC">
      <w:pPr>
        <w:spacing w:after="160"/>
      </w:pPr>
      <w:r>
        <w:t>Personas are reduced to those whose needs directly produce requirements in §6–§9. Sub-segmentation (e.g., household size, regional usage profile) is handled</w:t>
      </w:r>
      <w:r>
        <w:t xml:space="preserve"> in the QFD weighting rather than by adding more personas.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job-to-be-done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success looks like for them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Primary user — head of household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"When I open the tap, give me hot water without me thinking about it."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Hot water available on every reasonable use occasion; bill goes down vs. the old heater; one app notification per quarter or fewer.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Secondary user — household members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"Use hot water without learning a new appliance."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Existing taps behave the same as befor</w:t>
            </w:r>
            <w:r>
              <w:rPr>
                <w:sz w:val="20"/>
                <w:szCs w:val="20"/>
              </w:rPr>
              <w:t>e; no app required for daily use; local display readable at a glance.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Installer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"Install it in one visit, no surprises, sign off."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Single-visit install with standard tools; clear mounting templates; pre-commissioning self-test pass before leaving site.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Service technician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"Diagnose, replace the right part, leave it working."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Diagnostic codes lead to one root cause; serviceable parts are accessible without dismantling unrelated subsystems; service log is retrievable on-site via QR code.</w:t>
            </w:r>
          </w:p>
        </w:tc>
      </w:tr>
    </w:tbl>
    <w:p w:rsidR="00A50F74" w:rsidRDefault="004B53CC">
      <w:r>
        <w:br w:type="page"/>
      </w:r>
    </w:p>
    <w:p w:rsidR="00A50F74" w:rsidRDefault="004B53CC">
      <w:pPr>
        <w:pStyle w:val="Heading1"/>
      </w:pPr>
      <w:r>
        <w:lastRenderedPageBreak/>
        <w:t>5.  User experience requirements</w:t>
      </w:r>
    </w:p>
    <w:p w:rsidR="00A50F74" w:rsidRDefault="004B53CC">
      <w:pPr>
        <w:spacing w:after="160"/>
      </w:pPr>
      <w:r>
        <w:t>UX requirements describe how the user perceives and interacts with the system. They constrain the UI &amp; Connectivity subsystem and parts of Sensing &amp; Control. Each UX-xx item has an acceptance criterion that can be checked b</w:t>
      </w:r>
      <w:r>
        <w:t>y inspection or user trial.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4680"/>
        <w:gridCol w:w="1170"/>
        <w:gridCol w:w="2730"/>
      </w:tblGrid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Owner subsystem(s)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UX-01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Local display readable at arm's length in normal household lighting without requiring the user to bend down.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Sensing &amp; Control + UI &amp; Connectivity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UX-02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First-run setup completable in under 10 minutes including app pairing, location, and basic schedule.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UI &amp; Connectivity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UX-03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Alerts are categorized by user action required: informational / action-needed / urgent. Urgent alerts trigger both local and app notification.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Sensing &amp; Control + UI &amp; Connectivity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UX-04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The mobile app exposes status, daily/weekly history, and service log, and is not required for daily appliance use.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Should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UI &amp; Connectivity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UX-05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User can mute non-urgent alerts for a chosen window (e.g., overnight) without disabling urgent alerts.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Should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UI &amp; Connectivity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UX-06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Accessibility — display supports large-text mode and the app meets WCAG 2.1 AA for the principal user flows.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Should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UI &amp; Connectivity</w:t>
            </w:r>
          </w:p>
        </w:tc>
      </w:tr>
    </w:tbl>
    <w:p w:rsidR="00A50F74" w:rsidRDefault="004B53CC">
      <w:r>
        <w:br w:type="page"/>
      </w:r>
    </w:p>
    <w:p w:rsidR="00A50F74" w:rsidRDefault="004B53CC">
      <w:pPr>
        <w:pStyle w:val="Heading1"/>
      </w:pPr>
      <w:r>
        <w:lastRenderedPageBreak/>
        <w:t>6.  Functional requirements</w:t>
      </w:r>
    </w:p>
    <w:p w:rsidR="00A50F74" w:rsidRDefault="004B53CC">
      <w:pPr>
        <w:spacing w:after="160"/>
      </w:pPr>
      <w:r>
        <w:t xml:space="preserve">Functional requirements describe what the system does. Each FR-xx realizes one or more numbered functions (F-01 through F-14) identified in DFMEA Step 3 Function Analysis, and each is owned by one or more subsystems. The owner-subsystem column maps to the </w:t>
      </w:r>
      <w:r>
        <w:t>abbreviations used in DFMEA §2.3 (TPM, WFD, SC, SM, EI, UIC).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1170"/>
        <w:gridCol w:w="4290"/>
        <w:gridCol w:w="1170"/>
        <w:gridCol w:w="1950"/>
      </w:tblGrid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Realizes function</w:t>
            </w:r>
          </w:p>
        </w:tc>
        <w:tc>
          <w:tcPr>
            <w:tcW w:w="42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Owner subsystem(s)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FR-01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F-01</w:t>
            </w:r>
          </w:p>
        </w:tc>
        <w:tc>
          <w:tcPr>
            <w:tcW w:w="42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The system shall store water across two tanks with isolation between them so that one tank can be drained or serviced while the other continues to deliver hot water.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TPM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FR-02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F-01</w:t>
            </w:r>
          </w:p>
        </w:tc>
        <w:tc>
          <w:tcPr>
            <w:tcW w:w="42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The system shall maintain stored water within a configurable target temperature band, with default values appropriate for domestic hot-water use.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TPM + SC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FR-03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F-02</w:t>
            </w:r>
          </w:p>
        </w:tc>
        <w:tc>
          <w:tcPr>
            <w:tcW w:w="42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The system shall protect against overpressure by means independent of the main control MCU.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TPM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FR-04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F-02</w:t>
            </w:r>
          </w:p>
        </w:tc>
        <w:tc>
          <w:tcPr>
            <w:tcW w:w="42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The system shall damp hydraulic surges from pump cycling and demand spikes such that no audible water hammer is detectable at the user-side outlet under specified test conditions.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Should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TPM + WFD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FR-05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F-04</w:t>
            </w:r>
          </w:p>
        </w:tc>
        <w:tc>
          <w:tcPr>
            <w:tcW w:w="42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The system shall capture moisture from inlet ambient air via the condensation module, with capture rate quantified per the QFD targets in §8.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WFD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FR-06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F-04</w:t>
            </w:r>
          </w:p>
        </w:tc>
        <w:tc>
          <w:tcPr>
            <w:tcW w:w="42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The system shall accept mains / make-up water as a secondary source when atmospheric capture is insufficient to maintain a configurable minimum reserve.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WFD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FR-07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F-04</w:t>
            </w:r>
          </w:p>
        </w:tc>
        <w:tc>
          <w:tcPr>
            <w:tcW w:w="42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The system shall deliver hot water at the outlet within a specified flow and pressure envelope under nominal operating conditions.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WFD + TPM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FR-08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F-05 to F-09</w:t>
            </w:r>
          </w:p>
        </w:tc>
        <w:tc>
          <w:tcPr>
            <w:tcW w:w="42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The system shall measure tank temperature, tank pressure, tank level, and ambient humidity with accuracy and refresh rate sufficient to support the safety interlocks in FR-11 through FR-13.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SC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FR-09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F-11</w:t>
            </w:r>
          </w:p>
        </w:tc>
        <w:tc>
          <w:tcPr>
            <w:tcW w:w="42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The system shall close control loops for heating, pumping, and valve actuation in a deterministic manner that meets the latency budget in §8.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SC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FR-10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F-11</w:t>
            </w:r>
          </w:p>
        </w:tc>
        <w:tc>
          <w:tcPr>
            <w:tcW w:w="42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The system shall provide diagnostic data, error codes, and event logs accessible both locally and via the mobile app.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SC + UIC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FR-11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F-11</w:t>
            </w:r>
          </w:p>
        </w:tc>
        <w:tc>
          <w:tcPr>
            <w:tcW w:w="42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 xml:space="preserve">The system shall trip an over-temperature cutoff if measured tank temperature exceeds the configured safety limit, by a path that does not </w:t>
            </w:r>
            <w:r>
              <w:rPr>
                <w:sz w:val="20"/>
                <w:szCs w:val="20"/>
              </w:rPr>
              <w:lastRenderedPageBreak/>
              <w:t>depend on a functioning main MCU firmware loop.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Must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SC + TPM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FR-12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F-11</w:t>
            </w:r>
          </w:p>
        </w:tc>
        <w:tc>
          <w:tcPr>
            <w:tcW w:w="42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The system shall prevent the pump from running dry by interlock; dry-run condition must remove pump power within a bounded time of detection.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SC + WFD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FR-13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F-11</w:t>
            </w:r>
          </w:p>
        </w:tc>
        <w:tc>
          <w:tcPr>
            <w:tcW w:w="42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The system shall trigger overpressure relief through an independent path (mechanical relief + independent electrical cutoff) when measured pressure exceeds the configured safety threshold.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TPM + SC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FR-14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F-03</w:t>
            </w:r>
          </w:p>
        </w:tc>
        <w:tc>
          <w:tcPr>
            <w:tcW w:w="42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The system shall provide service access to tanks, pumps, valves, sensors, and electronics such that each can be inspected and replaced without dismantling unrelated subsystems.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SM + EI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FR-15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F-13</w:t>
            </w:r>
          </w:p>
        </w:tc>
        <w:tc>
          <w:tcPr>
            <w:tcW w:w="42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The system shall surface service intervals and predictive maintenance prompts based on measured wear indicators (cycle counts, drift, calibration deviation).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Should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SC + UIC + SM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FR-16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F-10</w:t>
            </w:r>
          </w:p>
        </w:tc>
        <w:tc>
          <w:tcPr>
            <w:tcW w:w="42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The system shall provide a local display showing at minimum: power state, current mode, tank levels, last alert, and a service-status indicator.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UIC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FR-17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F-14</w:t>
            </w:r>
          </w:p>
        </w:tc>
        <w:tc>
          <w:tcPr>
            <w:tcW w:w="42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The system shall pair with a single mobile app instance via Bluetooth; subsequent re-pairings of additional devices require explicit confirmation from the existing primary device.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Should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UIC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FR-18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F-12</w:t>
            </w:r>
          </w:p>
        </w:tc>
        <w:tc>
          <w:tcPr>
            <w:tcW w:w="429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The enclosure shall retain thermal energy in the stored hot water such that standby losses meet the QFD targets in §8.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EI</w:t>
            </w:r>
          </w:p>
        </w:tc>
      </w:tr>
    </w:tbl>
    <w:p w:rsidR="00A50F74" w:rsidRDefault="004B53CC">
      <w:r>
        <w:br w:type="page"/>
      </w:r>
    </w:p>
    <w:p w:rsidR="00A50F74" w:rsidRDefault="004B53CC">
      <w:pPr>
        <w:pStyle w:val="Heading1"/>
      </w:pPr>
      <w:r>
        <w:lastRenderedPageBreak/>
        <w:t>7.  Feature-level requirements</w:t>
      </w:r>
    </w:p>
    <w:p w:rsidR="00A50F74" w:rsidRDefault="004B53CC">
      <w:pPr>
        <w:spacing w:after="120"/>
      </w:pPr>
      <w:r>
        <w:t xml:space="preserve">This section catalogues the named, concrete features that the product is being built to deliver, each with a measurable target. It sits between the abstract functional requirements in §6 and the QFD-derived engineering targets in §8: a feature describes a </w:t>
      </w:r>
      <w:r>
        <w:t>specific design solution ("non-clogging open vent", "PIR-based wake-up", "BEE 5-star insulation buffer") chosen to realize one or more functions, with a numeric acceptance threshold.</w:t>
      </w:r>
    </w:p>
    <w:p w:rsidR="00A50F74" w:rsidRDefault="004B53CC">
      <w:pPr>
        <w:spacing w:after="160"/>
      </w:pPr>
      <w:r>
        <w:rPr>
          <w:i/>
          <w:iCs/>
          <w:color w:val="606060"/>
        </w:rPr>
        <w:t>ID convention: features are numbered FT-01 through FT-15 to avoid collisi</w:t>
      </w:r>
      <w:r>
        <w:rPr>
          <w:i/>
          <w:iCs/>
          <w:color w:val="606060"/>
        </w:rPr>
        <w:t>on with the F-01 through F-14 subsystem-function IDs used in DFMEA Step 3 and referenced in §6. A feature may realize one or more F-xx functions and is owned by one or more subsystems.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2"/>
        <w:gridCol w:w="1779"/>
        <w:gridCol w:w="2990"/>
        <w:gridCol w:w="1779"/>
        <w:gridCol w:w="1326"/>
        <w:gridCol w:w="814"/>
      </w:tblGrid>
      <w:tr w:rsidR="00A50F74">
        <w:tblPrEx>
          <w:tblCellMar>
            <w:top w:w="0" w:type="dxa"/>
            <w:bottom w:w="0" w:type="dxa"/>
          </w:tblCellMar>
        </w:tblPrEx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 name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Detailed feature requirement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Measurable target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Owner subsystem(s)</w:t>
            </w:r>
          </w:p>
        </w:tc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FT-01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Atmospheric Venting Integrity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Non-clogging, open-to-atmosphere vent assembly that maintains zero gauge pressure in both tanks during heating cycles, eliminating catastrophic burst risks.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Max internal tank pressure: 0 kPa (0 ba</w:t>
            </w:r>
            <w:r>
              <w:rPr>
                <w:b/>
                <w:bCs/>
                <w:sz w:val="18"/>
                <w:szCs w:val="18"/>
              </w:rPr>
              <w:t>r)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6"/>
                <w:szCs w:val="16"/>
              </w:rPr>
              <w:t>TPM</w:t>
            </w:r>
          </w:p>
        </w:tc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FT-02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Twin-Tank Thermal Stratification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Optimize fluid transfer and multi-tank flow dynamics so that cold inlet water filling Tank 1 does not rapidly degrade or mix with ready-to-use hot water in Tank 2.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First-hour hot-water delivery efficiency: &gt; 90%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6"/>
                <w:szCs w:val="16"/>
              </w:rPr>
              <w:t>TPM + WFD</w:t>
            </w:r>
          </w:p>
        </w:tc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FT-03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Service-First Modular Access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Top-mounted or front-facing quick-release service hatches allow field personnel to clear sediment or perform high-flow chemical flush without dismantling core plumbing.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Mean Time To Service (MTTS) for descaling: &lt; 20 min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6"/>
                <w:szCs w:val="16"/>
              </w:rPr>
              <w:t>SM + EI</w:t>
            </w:r>
          </w:p>
        </w:tc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FT-04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Booster Flow Integration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Because the open-atmosphere design operates at zero line pressure, the outlet architecture interfaces with internal micro-boosters or external home pumps to ensure high-pressure delivery at the tap.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Minimum discharge flow rate at t</w:t>
            </w:r>
            <w:r>
              <w:rPr>
                <w:b/>
                <w:bCs/>
                <w:sz w:val="18"/>
                <w:szCs w:val="18"/>
              </w:rPr>
              <w:t>ap: 12 L/min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6"/>
                <w:szCs w:val="16"/>
              </w:rPr>
              <w:t>WFD</w:t>
            </w:r>
          </w:p>
        </w:tc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FT-05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Dual-Tank Level Electronic Sensing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Replace legacy pressure-switch safety logic with continuous electronic level monitoring (robust float arrays or non-contact ultrasonic sensors) in both tanks to prevent dry-heating and handle multi-stage filling.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 xml:space="preserve">Dry-run protection response latency: &lt; 500 </w:t>
            </w:r>
            <w:r>
              <w:rPr>
                <w:b/>
                <w:bCs/>
                <w:sz w:val="18"/>
                <w:szCs w:val="18"/>
              </w:rPr>
              <w:t>ms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6"/>
                <w:szCs w:val="16"/>
              </w:rPr>
              <w:t>SC + WFD</w:t>
            </w:r>
          </w:p>
        </w:tc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FT-06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"Always Available" Agentic Logic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Heating logic prioritizes maintaining a minimum volume of ready hot water in Tank 2, dynamically adjusting heating cycles based on learned family usage patterns.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"Zero cold shower" success rate: &gt;</w:t>
            </w:r>
            <w:r>
              <w:rPr>
                <w:b/>
                <w:bCs/>
                <w:sz w:val="18"/>
                <w:szCs w:val="18"/>
              </w:rPr>
              <w:t xml:space="preserve"> 95%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6"/>
                <w:szCs w:val="16"/>
              </w:rPr>
              <w:t>SC + UIC</w:t>
            </w:r>
          </w:p>
        </w:tc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FT-07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PIR-Sensor Based Wake-Up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Passive infrared sensors in the bathroom environment detect occupancy, allowing the system to wake or throttle heating cycles proactively to eliminate idle standing losses.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Idle standing energy losses avoided: 15% reduction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6"/>
                <w:szCs w:val="16"/>
              </w:rPr>
              <w:t>SC</w:t>
            </w:r>
          </w:p>
        </w:tc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Should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FT-08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Multi-Node Thermal Safety Array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Distributed NTC thermistor array tracks fluid temperatures across both tanks to prevent localized boiling and minimize temperature spikes where scale precipitates.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Temperature sensor calibration accuracy: ± 0.5 °C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6"/>
                <w:szCs w:val="16"/>
              </w:rPr>
              <w:t>SC + TPM</w:t>
            </w:r>
          </w:p>
        </w:tc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FT-09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Vulnerable Mode Maximum Temp Cap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Software-defined cap or automated mixing loop restricts outlet water temperature to a maximum of 49 °C when vulnerable mode (elderly / children) is activated by the user.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Vulnerable mode max temp: 49 °C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6"/>
                <w:szCs w:val="16"/>
              </w:rPr>
              <w:t>SC + UIC</w:t>
            </w:r>
          </w:p>
        </w:tc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FT-10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Independent Physical Overrides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Independent, non-software-dependent physical thermal safety switches (bimetallic cutouts) on heating elements provide redundant over-temperature control.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Thermal safety cutout activation: 75 °C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6"/>
                <w:szCs w:val="16"/>
              </w:rPr>
              <w:t>TPM + SC</w:t>
            </w:r>
          </w:p>
        </w:tc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FT-11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Bluetooth-First Offline Core Logic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Heating schedules, level sensing, and safety sequences are managed locally on the device (ESP32-C6 BT) to ensure core functionality during Wi-Fi or cloud outages.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Offline logic response latency: 0 ms (local)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6"/>
                <w:szCs w:val="16"/>
              </w:rPr>
              <w:t>SC + UIC</w:t>
            </w:r>
          </w:p>
        </w:tc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FT-12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BEE 5-Star Standing Loss Buffer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Certified BEE 5-star validation achieved by keeping standing loss to a maximum of 0.342 kWh/24h via high-density PUF insulation tailored around the twin-tank geometry.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BEE-certified standing loss: ≤ 0.342 kWh/24h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6"/>
                <w:szCs w:val="16"/>
              </w:rPr>
              <w:t>EI + TPM</w:t>
            </w:r>
          </w:p>
        </w:tc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FT-13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On-Tank QR Code AR Service Guides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Weather-resistant QR codes on the outer chassis launch AR-guided exploded views of the twin-tank layout and step-by-step local descaling procedures for service technicians.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AR guide access success rate: &gt; 98%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6"/>
                <w:szCs w:val="16"/>
              </w:rPr>
              <w:t>SM + UIC + EI</w:t>
            </w:r>
          </w:p>
        </w:tc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Should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FT-14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One-Click UC API Maintenance Hook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Companion app integrates with Urban Company API. When the localized sensor array detects high sediment accumulation in the modular scale trap, a push notification offers a one-click pre-booked descaling appointment.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Automated booking integration latency: &lt;</w:t>
            </w:r>
            <w:r>
              <w:rPr>
                <w:b/>
                <w:bCs/>
                <w:sz w:val="18"/>
                <w:szCs w:val="18"/>
              </w:rPr>
              <w:t xml:space="preserve"> 3 s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6"/>
                <w:szCs w:val="16"/>
              </w:rPr>
              <w:t>UIC + SC + SM</w:t>
            </w:r>
          </w:p>
        </w:tc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Should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FT-15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Uniform 20-Min Toolless Service Layout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Internal fluid plumbing, modular scale trap, and open-atmosphere dual tank lids use standardized toolless thumb-screws and universal seals optimized for rapid gig-professional turnaround.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Maximum descaling maintenance window: 20 min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6"/>
                <w:szCs w:val="16"/>
              </w:rPr>
              <w:t>SM + EI</w:t>
            </w:r>
          </w:p>
        </w:tc>
        <w:tc>
          <w:tcPr>
            <w:tcW w:w="7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</w:tr>
    </w:tbl>
    <w:p w:rsidR="00A50F74" w:rsidRDefault="004B53CC">
      <w:r>
        <w:br w:type="page"/>
      </w:r>
    </w:p>
    <w:p w:rsidR="00A50F74" w:rsidRDefault="004B53CC">
      <w:pPr>
        <w:pStyle w:val="Heading1"/>
      </w:pPr>
      <w:r>
        <w:lastRenderedPageBreak/>
        <w:t>8.  Quality and engineering requirements (from QFD Level 1)</w:t>
      </w:r>
    </w:p>
    <w:p w:rsidR="00A50F74" w:rsidRDefault="004B53CC">
      <w:pPr>
        <w:spacing w:after="120"/>
      </w:pPr>
      <w:r>
        <w:t>This section contains the engineering characteristics — the QFD "Hows" — that translate customer needs into measurable targets. Each QR-xx requirement has a target value, a test or tolerance basis</w:t>
      </w:r>
      <w:r>
        <w:t>, and a traceable origin in the customer-need column. Where a QR-xx target overlaps with a feature target in §7 (for example, dry-run latency, standing loss, vulnerable-mode temperature cap), the §7 value is authoritative and the QR-xx row references it fo</w:t>
      </w:r>
      <w:r>
        <w:t>r traceability.</w:t>
      </w:r>
    </w:p>
    <w:p w:rsidR="00A50F74" w:rsidRDefault="004B53CC">
      <w:pPr>
        <w:spacing w:after="160"/>
      </w:pPr>
      <w:r>
        <w:rPr>
          <w:i/>
          <w:iCs/>
          <w:color w:val="606060"/>
        </w:rPr>
        <w:t>Where target values are written as "target X" with no number, the numeric value is TBD pending QFD Level 1 refinement and is tracked in §14.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2730"/>
        <w:gridCol w:w="2106"/>
        <w:gridCol w:w="1404"/>
        <w:gridCol w:w="936"/>
        <w:gridCol w:w="1404"/>
      </w:tblGrid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Engineering characteristic (QFD How)</w:t>
            </w:r>
          </w:p>
        </w:tc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value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/ tolerance basis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Customer need (QFD What)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QR-01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Hot-water availability (uptime under intermittent mains)</w:t>
            </w:r>
          </w:p>
        </w:tc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≥ 99% of demand events met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Measured over 30-day field cycle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"Always available" need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QR-02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Atmospheric water capture rate at design ambient (28°C, 70% RH)</w:t>
            </w:r>
          </w:p>
        </w:tc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≥ design target litres/day (TBD per QFD L1)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Per-day rolling average; minimum daily floor specified separately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Source resilience need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QR-03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Energy efficiency — kWh per litre delivered at 55°C</w:t>
            </w:r>
          </w:p>
        </w:tc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≤ target value kWh/L (TBD per QFD L1)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Standby + active envelope, 24h test profile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"Costs less to run" need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QR-04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Standby thermal loss</w:t>
            </w:r>
          </w:p>
        </w:tc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≤ target W at 55°C tank, 20°C ambient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Per insulation spec; verified by 24h passive cooldown test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Efficiency need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QR-05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Time to first hot water from cold start</w:t>
            </w:r>
          </w:p>
        </w:tc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≤ target minutes to first 55°C delivery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Cold start = both tanks at ambient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Should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Convenience need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QR-06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Delivery pressure at outlet under nominal demand</w:t>
            </w:r>
          </w:p>
        </w:tc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Within ±10% of mains-equivalent baseline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Measured at outlet with rated flow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"No surprises at the tap" need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QR-07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Delivery flow rate at outlet under nominal demand</w:t>
            </w:r>
          </w:p>
        </w:tc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≥ target L/min at specified outlet pressure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Measured at standard test condition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"Behaves like normal plumbing" need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QR-08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Pressure relief activation accuracy</w:t>
            </w:r>
          </w:p>
        </w:tc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Cracking pressure within ±5% of nominal setpoint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Per pressure-vessel safety standard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Safety (regulatory)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QR-09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Over-temperature cutoff response time</w:t>
            </w:r>
          </w:p>
        </w:tc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≤ target seconds from threshold crossing to heater de-energized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Independent of MCU firmware loop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Safety (regulatory)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QR-10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Dry-run protection response time</w:t>
            </w:r>
          </w:p>
        </w:tc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≤ target seconds from low-level event to pump de-energized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Verified by feed-cut trial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Safety + reliability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QR-11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Acoustic emission at user-side outlet</w:t>
            </w:r>
          </w:p>
        </w:tc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≤ target dB(A) under rated flow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1 m from outlet, A-weighted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Should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"Quiet enough" need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QR-12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Conducted and radiated EMI</w:t>
            </w:r>
          </w:p>
        </w:tc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Compliant with IEC 61000-6-2 (immunity) and 6-3 (emissions) for residential equipment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Per applicable regional standards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Regulatory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QR-13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Ingress protection rating</w:t>
            </w:r>
          </w:p>
        </w:tc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IPX4 minimum for the assembled enclosure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Sheltered installation; condensation-aware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Reliability under household conditions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QR-14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Mean time between service interventions</w:t>
            </w:r>
          </w:p>
        </w:tc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≥ target months under nominal usage profile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Defined per service log and field-failure data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Should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Service cost-of-ownership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QR-15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Time to complete homeowner-serviceable maintenance (descaling, filter)</w:t>
            </w:r>
          </w:p>
        </w:tc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≤ target minutes per intervention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Without specialist tools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Should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Serviceability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QR-16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Time to complete one technician-serviceable repair (replace pump or sensor)</w:t>
            </w:r>
          </w:p>
        </w:tc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≤ target minutes per repair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With standard tools, single-visit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Should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Serviceability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QR-17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Bluetooth pairing reliability</w:t>
            </w:r>
          </w:p>
        </w:tc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≥ 95% successful first-pair attempts under specified RF environment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Standard household RF noise floor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Should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Install experience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QR-18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Sensor accuracy — tank temperature</w:t>
            </w:r>
          </w:p>
        </w:tc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± target °C across operating range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After warm-up and self-calibration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Closed-loop control + safety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QR-19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Sensor accuracy — tank pressure</w:t>
            </w:r>
          </w:p>
        </w:tc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± target % FS across operating range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Required for overpressure trip path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Closed-loop control + safety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QR-20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Control-loop end-to-end latency (sensor read → actuator update)</w:t>
            </w:r>
          </w:p>
        </w:tc>
        <w:tc>
          <w:tcPr>
            <w:tcW w:w="21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≤ target ms under worst-case load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Determinism budget for FR-09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18"/>
                <w:szCs w:val="18"/>
              </w:rPr>
              <w:t>Closed-loop control</w:t>
            </w:r>
          </w:p>
        </w:tc>
      </w:tr>
    </w:tbl>
    <w:p w:rsidR="00A50F74" w:rsidRDefault="004B53CC">
      <w:r>
        <w:br w:type="page"/>
      </w:r>
    </w:p>
    <w:p w:rsidR="00A50F74" w:rsidRDefault="004B53CC">
      <w:pPr>
        <w:pStyle w:val="Heading1"/>
      </w:pPr>
      <w:r>
        <w:lastRenderedPageBreak/>
        <w:t>9.  Non-functional requirements</w:t>
      </w:r>
    </w:p>
    <w:p w:rsidR="00A50F74" w:rsidRDefault="004B53CC">
      <w:pPr>
        <w:spacing w:after="160"/>
      </w:pPr>
      <w:r>
        <w:t>Non-functional requirements cover safety, reliability, EMC, environmental tolerance, privacy, maintainability, and internationalization. Safety items NFR-01 through NFR-04 are release blockers because they tie to regulatory certification. NFR-01 ties direc</w:t>
      </w:r>
      <w:r>
        <w:t>tly to the AIAG-VDA Action Priority discipline applied in DFMEA Steps 4–7.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2"/>
        <w:gridCol w:w="1725"/>
        <w:gridCol w:w="5713"/>
        <w:gridCol w:w="1150"/>
      </w:tblGrid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0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NFR-01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Safety</w:t>
            </w:r>
          </w:p>
        </w:tc>
        <w:tc>
          <w:tcPr>
            <w:tcW w:w="60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All identified Action Priority H items from DFMEA must be either closed or formally deferred with documented rationale prior to any Proto 2 design freeze.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NFR-02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Safety</w:t>
            </w:r>
          </w:p>
        </w:tc>
        <w:tc>
          <w:tcPr>
            <w:tcW w:w="60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The system shall comply with the applicable regional pressure-vessel safety standard for stored hot water.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NFR-03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Safety</w:t>
            </w:r>
          </w:p>
        </w:tc>
        <w:tc>
          <w:tcPr>
            <w:tcW w:w="60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The system shall comply with the applicable regional electrical safety standard for domestic appliances.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NFR-04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Safety</w:t>
            </w:r>
          </w:p>
        </w:tc>
        <w:tc>
          <w:tcPr>
            <w:tcW w:w="60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The system shall comply with the applicable potable-water-contact material standards for all wetted parts.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NFR-05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Reliability</w:t>
            </w:r>
          </w:p>
        </w:tc>
        <w:tc>
          <w:tcPr>
            <w:tcW w:w="60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The mean time between safety-relevant failures (any H-rated failure mode) shall meet or exceed the target stated in QR section.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NFR-06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Reliability</w:t>
            </w:r>
          </w:p>
        </w:tc>
        <w:tc>
          <w:tcPr>
            <w:tcW w:w="60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All H-rated and M-rated DFMEA items shall have a defined design validation parameter and a test method specified in the Integrated Tracker.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NFR-07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EMC</w:t>
            </w:r>
          </w:p>
        </w:tc>
        <w:tc>
          <w:tcPr>
            <w:tcW w:w="60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The system shall meet IEC 61000-6-2 (immunity) and 6-3 (emissions) for residential equipment, with engineering margin documented.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NFR-08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Environmental</w:t>
            </w:r>
          </w:p>
        </w:tc>
        <w:tc>
          <w:tcPr>
            <w:tcW w:w="60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The system shall operate within specified ambient temperature and humidity ranges for sheltered domestic installations.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NFR-09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Environmental</w:t>
            </w:r>
          </w:p>
        </w:tc>
        <w:tc>
          <w:tcPr>
            <w:tcW w:w="60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The system shall manage internal condensation such that no liquid water accumulates in electronics or sensor cavities under any defined operating condition.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NFR-10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Privacy &amp; data</w:t>
            </w:r>
          </w:p>
        </w:tc>
        <w:tc>
          <w:tcPr>
            <w:tcW w:w="60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User data captured by the app (usage patterns, service logs) shall remain on-device by default; any future cloud upload is opt-in.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NFR-11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Privacy &amp; data</w:t>
            </w:r>
          </w:p>
        </w:tc>
        <w:tc>
          <w:tcPr>
            <w:tcW w:w="60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Bluetooth pairing shall use a current-best-practice secure pairing scheme; unpaired devices cannot read system data.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NFR-12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Maintainability</w:t>
            </w:r>
          </w:p>
        </w:tc>
        <w:tc>
          <w:tcPr>
            <w:tcW w:w="60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Firmware shall log faults to non-volatile memory in a structured, retrievable format; logs survive power cycles.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Must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NFR-13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Maintainability</w:t>
            </w:r>
          </w:p>
        </w:tc>
        <w:tc>
          <w:tcPr>
            <w:tcW w:w="60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Service interfaces (diagnostic port or app-side equivalent) shall expose error codes mapped to a published code book.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Should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NFR-14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18"/>
                <w:szCs w:val="18"/>
              </w:rPr>
              <w:t>Internationalization</w:t>
            </w:r>
          </w:p>
        </w:tc>
        <w:tc>
          <w:tcPr>
            <w:tcW w:w="60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The local display and app shall support display in the languages required for the launch markets.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Should</w:t>
            </w:r>
          </w:p>
        </w:tc>
      </w:tr>
    </w:tbl>
    <w:p w:rsidR="00A50F74" w:rsidRDefault="004B53CC">
      <w:r>
        <w:br w:type="page"/>
      </w:r>
    </w:p>
    <w:p w:rsidR="00A50F74" w:rsidRDefault="004B53CC">
      <w:pPr>
        <w:pStyle w:val="Heading1"/>
      </w:pPr>
      <w:r>
        <w:lastRenderedPageBreak/>
        <w:t>10.  Architecture overview</w:t>
      </w:r>
    </w:p>
    <w:p w:rsidR="00A50F74" w:rsidRDefault="004B53CC">
      <w:pPr>
        <w:spacing w:after="160"/>
      </w:pPr>
      <w:r>
        <w:t>This section is non-normative — it describes the architectural posture that the requirements above assume. The authoritative architecture documents are the DFMEA Steps 1–3 (with DSM) artifact and, in due course, the component-decomposition output of the De</w:t>
      </w:r>
      <w:r>
        <w:t>velop stage.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1ED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Architectural posture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Modular at the subsystem boundary; tightly integrated within the coupled core. Six subsystems own non-overlapping responsibilities (per DFMEA §2.2), but the three core subsystems must be co-developed against shared interf</w:t>
            </w:r>
            <w:r>
              <w:rPr>
                <w:sz w:val="20"/>
                <w:szCs w:val="20"/>
              </w:rPr>
              <w:t>ace control documents.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1ED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Coupled core (DSM finding)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Tank &amp; Pressure Management, Water Flow &amp; Delivery, and Sensing &amp;</w:t>
            </w:r>
            <w:r>
              <w:rPr>
                <w:sz w:val="20"/>
                <w:szCs w:val="20"/>
              </w:rPr>
              <w:t xml:space="preserve"> Control form a bidirectionally coupled cluster. Develop-stage work begins by decomposing all three in parallel, with ICDs locked before component selection. See DFMEA §2.3 for the full coupling map and §2.3.4 for ICD priorities.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1ED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Safety architecture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Two i</w:t>
            </w:r>
            <w:r>
              <w:rPr>
                <w:sz w:val="20"/>
                <w:szCs w:val="20"/>
              </w:rPr>
              <w:t>ndependent safety paths: (a) mechanical pressure relief, independent of any electrical path; (b) over-temperature cutoff that does not depend on a functioning main MCU firmware loop. These are required by FR-11 and FR-13 and constrain component selection i</w:t>
            </w:r>
            <w:r>
              <w:rPr>
                <w:sz w:val="20"/>
                <w:szCs w:val="20"/>
              </w:rPr>
              <w:t>n Develop.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1ED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Control architecture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A single primary MCU runs the closed loops; safety interlocks run on independent paths so MCU failure does not defeat safety. The control loop latency budget (QR-20) is allocated across sensor refresh, MCU processing, and a</w:t>
            </w:r>
            <w:r>
              <w:rPr>
                <w:sz w:val="20"/>
                <w:szCs w:val="20"/>
              </w:rPr>
              <w:t>ctuator response.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1ED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Service architecture</w:t>
            </w:r>
          </w:p>
        </w:tc>
        <w:tc>
          <w:tcPr>
            <w:tcW w:w="7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Service &amp; Maintenance is treated as a first-class subsystem rather than an afterthought. Access panels, isolation valves, and modular replaceability are constraints on the enclosure and routing, not consequences. Thi</w:t>
            </w:r>
            <w:r>
              <w:rPr>
                <w:sz w:val="20"/>
                <w:szCs w:val="20"/>
              </w:rPr>
              <w:t>s drives FR-14 through FR-17 and the QR-14 through QR-16 quality targets.</w:t>
            </w:r>
          </w:p>
        </w:tc>
      </w:tr>
    </w:tbl>
    <w:p w:rsidR="00A50F74" w:rsidRDefault="00A50F74"/>
    <w:p w:rsidR="00A50F74" w:rsidRDefault="004B53CC">
      <w:pPr>
        <w:pStyle w:val="Heading1"/>
      </w:pPr>
      <w:r>
        <w:t>11.  Constraints and assumptions</w:t>
      </w:r>
    </w:p>
    <w:p w:rsidR="00A50F74" w:rsidRDefault="004B53CC">
      <w:pPr>
        <w:spacing w:after="160"/>
      </w:pPr>
      <w:r>
        <w:t>Constraints are externally imposed limits the design must respect. Assumptions are statements taken as true at the time of writing this PRD; if any assumption is invalidated, the requirements that depend on it must be re-examined.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1404"/>
        <w:gridCol w:w="7176"/>
      </w:tblGrid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1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Statement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C-01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C</w:t>
            </w:r>
            <w:r>
              <w:rPr>
                <w:b/>
                <w:bCs/>
                <w:sz w:val="20"/>
                <w:szCs w:val="20"/>
              </w:rPr>
              <w:t>onstraint</w:t>
            </w:r>
          </w:p>
        </w:tc>
        <w:tc>
          <w:tcPr>
            <w:tcW w:w="71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Bluetooth-only connectivity for Proto 1/2. Cloud and OTA are out of scope for the baseline product.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C-02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Constraint</w:t>
            </w:r>
          </w:p>
        </w:tc>
        <w:tc>
          <w:tcPr>
            <w:tcW w:w="71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Single-household installation. No multi-tenant logic, no shared accounts.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C-03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Constraint</w:t>
            </w:r>
          </w:p>
        </w:tc>
        <w:tc>
          <w:tcPr>
            <w:tcW w:w="71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Sheltered domestic installation; outdoor unsheltered deployment is a future variant, not a baseline requirement.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C-04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Constraint</w:t>
            </w:r>
          </w:p>
        </w:tc>
        <w:tc>
          <w:tcPr>
            <w:tcW w:w="71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Component-level decisions deferred to Develop; the PRD does not specify part numbers.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A-01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Assumption</w:t>
            </w:r>
          </w:p>
        </w:tc>
        <w:tc>
          <w:tcPr>
            <w:tcW w:w="71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Mains water is available as make-up supply for the target launch markets.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A-02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Assumption</w:t>
            </w:r>
          </w:p>
        </w:tc>
        <w:tc>
          <w:tcPr>
            <w:tcW w:w="71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Ambient humidity in the target launch markets is sufficient to make atmospheric capture meaningful as a primary or supplementary source.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A-03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Assumption</w:t>
            </w:r>
          </w:p>
        </w:tc>
        <w:tc>
          <w:tcPr>
            <w:tcW w:w="71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Households in the target markets have a smartphone in the household capable of running the mobile app.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A-04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Assumption</w:t>
            </w:r>
          </w:p>
        </w:tc>
        <w:tc>
          <w:tcPr>
            <w:tcW w:w="71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Field-failure data from conventional electric storage water heaters and AWGs is a valid input to DFMEA Step 1 lessons-learned.</w:t>
            </w:r>
          </w:p>
        </w:tc>
      </w:tr>
    </w:tbl>
    <w:p w:rsidR="00A50F74" w:rsidRDefault="004B53CC">
      <w:r>
        <w:br w:type="page"/>
      </w:r>
    </w:p>
    <w:p w:rsidR="00A50F74" w:rsidRDefault="004B53CC">
      <w:pPr>
        <w:pStyle w:val="Heading1"/>
      </w:pPr>
      <w:r>
        <w:lastRenderedPageBreak/>
        <w:t>12.  Success metrics and validation strategy</w:t>
      </w:r>
    </w:p>
    <w:p w:rsidR="00A50F74" w:rsidRDefault="004B53CC">
      <w:pPr>
        <w:spacing w:after="160"/>
      </w:pPr>
      <w:r>
        <w:t>Each metric traces back to one or more requirement IDs, has a defined validation method, and a success threshold that distinguishes pass from fail. The Develop stage is responsible for instantiating these into s</w:t>
      </w:r>
      <w:r>
        <w:t>pecific test plans; the PRD only fixes the metric and the threshold.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404"/>
        <w:gridCol w:w="2808"/>
        <w:gridCol w:w="2808"/>
      </w:tblGrid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Traces to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Validation method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Success threshold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Hot-water availability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QR-01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Field cycle over 30 days in target market homes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≥ 99% demand events met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Energy per delivered litre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QR-03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24h standardized usage profile, instrumented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Improvement vs. baseline electric storage heater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First-pair success rate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QR-17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Out-of-box install trials with naive users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≥ 95% on first attempt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Safety AP closure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NFR-01, NFR-06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DFMEA Integrated Tracker review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100% of H-rated items closed or formally deferred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Single-visit repair rate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QR-16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Service-call audit during field trial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≥ 80% of repairs completed in one visit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Predictive maintenance hit rate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sz w:val="18"/>
                <w:szCs w:val="18"/>
              </w:rPr>
              <w:t>FR-15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Track alerts vs. actual failures over field trial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≥ 70% of failures preceded by an alert</w:t>
            </w:r>
          </w:p>
        </w:tc>
      </w:tr>
    </w:tbl>
    <w:p w:rsidR="00A50F74" w:rsidRDefault="00A50F74"/>
    <w:p w:rsidR="00A50F74" w:rsidRDefault="004B53CC">
      <w:pPr>
        <w:pStyle w:val="Heading1"/>
      </w:pPr>
      <w:r>
        <w:t>13.  Out of scope and future work</w:t>
      </w:r>
    </w:p>
    <w:p w:rsidR="00A50F74" w:rsidRDefault="004B53CC">
      <w:pPr>
        <w:pStyle w:val="ListParagraph"/>
        <w:numPr>
          <w:ilvl w:val="0"/>
          <w:numId w:val="2"/>
        </w:numPr>
      </w:pPr>
      <w:r>
        <w:t>Cloud connectivity, OTA firmware updates, voice-assistant integration — planned post-launch.</w:t>
      </w:r>
    </w:p>
    <w:p w:rsidR="00A50F74" w:rsidRDefault="004B53CC">
      <w:pPr>
        <w:pStyle w:val="ListParagraph"/>
        <w:numPr>
          <w:ilvl w:val="0"/>
          <w:numId w:val="2"/>
        </w:numPr>
      </w:pPr>
      <w:r>
        <w:t>Solar-input variant for off-grid or grid-supplement installations — future variant.</w:t>
      </w:r>
    </w:p>
    <w:p w:rsidR="00A50F74" w:rsidRDefault="004B53CC">
      <w:pPr>
        <w:pStyle w:val="ListParagraph"/>
        <w:numPr>
          <w:ilvl w:val="0"/>
          <w:numId w:val="2"/>
        </w:numPr>
      </w:pPr>
      <w:r>
        <w:t>Outdoor unsheltered deployment — future variant with weatherproofing scope.</w:t>
      </w:r>
    </w:p>
    <w:p w:rsidR="00A50F74" w:rsidRDefault="004B53CC">
      <w:pPr>
        <w:pStyle w:val="ListParagraph"/>
        <w:numPr>
          <w:ilvl w:val="0"/>
          <w:numId w:val="2"/>
        </w:numPr>
      </w:pPr>
      <w:r>
        <w:t>Multi-household / multi-tenant logic — not planned for current product family.</w:t>
      </w:r>
    </w:p>
    <w:p w:rsidR="00A50F74" w:rsidRDefault="004B53CC">
      <w:pPr>
        <w:pStyle w:val="ListParagraph"/>
        <w:numPr>
          <w:ilvl w:val="0"/>
          <w:numId w:val="2"/>
        </w:numPr>
      </w:pPr>
      <w:r>
        <w:t>Software FMEA — t</w:t>
      </w:r>
      <w:r>
        <w:t>o be scoped as a separate exercise once firmware architecture stabilizes.</w:t>
      </w:r>
    </w:p>
    <w:p w:rsidR="00A50F74" w:rsidRDefault="004B53CC">
      <w:pPr>
        <w:pStyle w:val="ListParagraph"/>
        <w:numPr>
          <w:ilvl w:val="0"/>
          <w:numId w:val="2"/>
        </w:numPr>
      </w:pPr>
      <w:r>
        <w:t>Industrial / commercial-scale capacity — separate product line, not covered here.</w:t>
      </w:r>
    </w:p>
    <w:p w:rsidR="00A50F74" w:rsidRDefault="00A50F74"/>
    <w:p w:rsidR="00A50F74" w:rsidRDefault="004B53CC">
      <w:pPr>
        <w:pStyle w:val="Heading1"/>
      </w:pPr>
      <w:r>
        <w:t>14.  Open questions and TBDs</w:t>
      </w:r>
    </w:p>
    <w:p w:rsidR="00A50F74" w:rsidRDefault="004B53CC">
      <w:pPr>
        <w:spacing w:after="120"/>
      </w:pPr>
      <w:r>
        <w:t>These items are open at the time of Gateway 2 review. Each must be closed in the first Develop review cycle or formally deferred with documented rationale.</w:t>
      </w:r>
    </w:p>
    <w:p w:rsidR="00A50F74" w:rsidRDefault="004B53CC">
      <w:pPr>
        <w:pStyle w:val="ListParagraph"/>
        <w:numPr>
          <w:ilvl w:val="0"/>
          <w:numId w:val="2"/>
        </w:numPr>
      </w:pPr>
      <w:r>
        <w:t>Final numeric targets for all QR-xx target values (TBD — pending QFD L1 refinement pass).</w:t>
      </w:r>
    </w:p>
    <w:p w:rsidR="00A50F74" w:rsidRDefault="004B53CC">
      <w:pPr>
        <w:pStyle w:val="ListParagraph"/>
        <w:numPr>
          <w:ilvl w:val="0"/>
          <w:numId w:val="2"/>
        </w:numPr>
      </w:pPr>
      <w:r>
        <w:t>Sensor accuracy budgets (QR-18, QR-19) — to be allocated against control-loop latency budget (QR-20) and overpressure trip response (QR-09).</w:t>
      </w:r>
    </w:p>
    <w:p w:rsidR="00A50F74" w:rsidRDefault="004B53CC">
      <w:pPr>
        <w:pStyle w:val="ListParagraph"/>
        <w:numPr>
          <w:ilvl w:val="0"/>
          <w:numId w:val="2"/>
        </w:numPr>
      </w:pPr>
      <w:r>
        <w:t>Hot-water capacity profile per household tier — final segmentation choice affects tank-volume targets in QR-02.</w:t>
      </w:r>
    </w:p>
    <w:p w:rsidR="00A50F74" w:rsidRDefault="004B53CC">
      <w:pPr>
        <w:pStyle w:val="ListParagraph"/>
        <w:numPr>
          <w:ilvl w:val="0"/>
          <w:numId w:val="2"/>
        </w:numPr>
      </w:pPr>
      <w:r>
        <w:t>Aco</w:t>
      </w:r>
      <w:r>
        <w:t>ustic limit (QR-11) — pending competitive benchmarking against incumbent units in-market.</w:t>
      </w:r>
    </w:p>
    <w:p w:rsidR="00A50F74" w:rsidRDefault="004B53CC">
      <w:pPr>
        <w:pStyle w:val="ListParagraph"/>
        <w:numPr>
          <w:ilvl w:val="0"/>
          <w:numId w:val="2"/>
        </w:numPr>
      </w:pPr>
      <w:r>
        <w:t>Service interval target (QR-14) — pending input from initial Proto 1 wear data.</w:t>
      </w:r>
    </w:p>
    <w:p w:rsidR="00A50F74" w:rsidRDefault="004B53CC">
      <w:pPr>
        <w:pStyle w:val="ListParagraph"/>
        <w:numPr>
          <w:ilvl w:val="0"/>
          <w:numId w:val="2"/>
        </w:numPr>
      </w:pPr>
      <w:r>
        <w:t xml:space="preserve">Confirmation that the regional EMC standards listed in NFR-07 cover all target launch </w:t>
      </w:r>
      <w:r>
        <w:t>markets without per-market amendment.</w:t>
      </w:r>
    </w:p>
    <w:p w:rsidR="00A50F74" w:rsidRDefault="004B53CC">
      <w:pPr>
        <w:pStyle w:val="ListParagraph"/>
        <w:numPr>
          <w:ilvl w:val="0"/>
          <w:numId w:val="2"/>
        </w:numPr>
      </w:pPr>
      <w:r>
        <w:t>Decision on whether NFR-14 (internationalization) is Should or Must for first launch — depends on launch-market selection.</w:t>
      </w:r>
    </w:p>
    <w:p w:rsidR="00A50F74" w:rsidRDefault="004B53CC">
      <w:r>
        <w:lastRenderedPageBreak/>
        <w:br w:type="page"/>
      </w:r>
    </w:p>
    <w:p w:rsidR="00A50F74" w:rsidRDefault="004B53CC">
      <w:pPr>
        <w:pStyle w:val="Heading1"/>
      </w:pPr>
      <w:r>
        <w:lastRenderedPageBreak/>
        <w:t>15.  Glossary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7488"/>
      </w:tblGrid>
      <w:tr w:rsidR="00A50F74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4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E4D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AP</w:t>
            </w:r>
          </w:p>
        </w:tc>
        <w:tc>
          <w:tcPr>
            <w:tcW w:w="74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Action Priority (AIAG-VDA 2019). Replaces legacy RPN. H/M/L</w:t>
            </w:r>
            <w:r>
              <w:rPr>
                <w:sz w:val="20"/>
                <w:szCs w:val="20"/>
              </w:rPr>
              <w:t xml:space="preserve"> lookup based on Severity, Occurrence, Detection.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AIAG-VDA</w:t>
            </w:r>
          </w:p>
        </w:tc>
        <w:tc>
          <w:tcPr>
            <w:tcW w:w="74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Joint FMEA Handbook published by AIAG and VDA in 2019; current best-practice methodology for DFMEA.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BMC</w:t>
            </w:r>
          </w:p>
        </w:tc>
        <w:tc>
          <w:tcPr>
            <w:tcW w:w="74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Business Model Canvas.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DFMEA</w:t>
            </w:r>
          </w:p>
        </w:tc>
        <w:tc>
          <w:tcPr>
            <w:tcW w:w="74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Design Failure Mode and Effects Analysis.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DSM</w:t>
            </w:r>
          </w:p>
        </w:tc>
        <w:tc>
          <w:tcPr>
            <w:tcW w:w="74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Design Structure Matrix. A square matrix that exposes coupling between elements of a design.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F-01 through F-14</w:t>
            </w:r>
          </w:p>
        </w:tc>
        <w:tc>
          <w:tcPr>
            <w:tcW w:w="74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Numbered functions identified in DFMEA Step 3 Function Analysis. Each PRD functional requirement realizes one or more F-xx.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ICD</w:t>
            </w:r>
          </w:p>
        </w:tc>
        <w:tc>
          <w:tcPr>
            <w:tcW w:w="74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Interface Control Document. Specifies the exchanges across an interface between two subsystems.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MoSCoW</w:t>
            </w:r>
          </w:p>
        </w:tc>
        <w:tc>
          <w:tcPr>
            <w:tcW w:w="74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Must / Should / Could / Won't prioritization. This PRD uses Must / Should / Could; Won't items appear in §4 non-goals.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PRD</w:t>
            </w:r>
          </w:p>
        </w:tc>
        <w:tc>
          <w:tcPr>
            <w:tcW w:w="74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Product Requirements Document.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QFD</w:t>
            </w:r>
          </w:p>
        </w:tc>
        <w:tc>
          <w:tcPr>
            <w:tcW w:w="74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Quality Function Deployment. The method used to translate customer needs (Whats) into engineering characteristics (Hows) with priority weighting.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RPN</w:t>
            </w:r>
          </w:p>
        </w:tc>
        <w:tc>
          <w:tcPr>
            <w:tcW w:w="74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Risk Priority Number = Severity × Occurrence × Detection. Legacy FMEA metric; superseded by AP in AIAG-VDA 2019.</w:t>
            </w:r>
          </w:p>
        </w:tc>
      </w:tr>
      <w:tr w:rsidR="00A50F74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b/>
                <w:bCs/>
                <w:sz w:val="20"/>
                <w:szCs w:val="20"/>
              </w:rPr>
              <w:t>VPC</w:t>
            </w:r>
          </w:p>
        </w:tc>
        <w:tc>
          <w:tcPr>
            <w:tcW w:w="74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0F74" w:rsidRDefault="004B53CC">
            <w:r>
              <w:rPr>
                <w:sz w:val="20"/>
                <w:szCs w:val="20"/>
              </w:rPr>
              <w:t>Value Proposition Canvas.</w:t>
            </w:r>
          </w:p>
        </w:tc>
      </w:tr>
    </w:tbl>
    <w:p w:rsidR="00A50F74" w:rsidRDefault="00A50F74"/>
    <w:p w:rsidR="00A50F74" w:rsidRDefault="004B53CC">
      <w:pPr>
        <w:jc w:val="center"/>
      </w:pPr>
      <w:r>
        <w:rPr>
          <w:i/>
          <w:iCs/>
          <w:color w:val="808080"/>
        </w:rPr>
        <w:t>— End of document —</w:t>
      </w:r>
    </w:p>
    <w:sectPr w:rsidR="00A50F74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53CC" w:rsidRDefault="004B53CC">
      <w:r>
        <w:separator/>
      </w:r>
    </w:p>
  </w:endnote>
  <w:endnote w:type="continuationSeparator" w:id="0">
    <w:p w:rsidR="004B53CC" w:rsidRDefault="004B5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0F74" w:rsidRDefault="004B53CC">
    <w:pPr>
      <w:jc w:val="center"/>
    </w:pPr>
    <w:r>
      <w:rPr>
        <w:color w:val="808080"/>
        <w:sz w:val="18"/>
        <w:szCs w:val="18"/>
      </w:rPr>
      <w:t xml:space="preserve">Rev A · Define Stage · Gateway 2 commitment · 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 w:rsidR="00C92491">
      <w:rPr>
        <w:color w:val="808080"/>
        <w:sz w:val="18"/>
        <w:szCs w:val="18"/>
      </w:rPr>
      <w:fldChar w:fldCharType="separate"/>
    </w:r>
    <w:r w:rsidR="00C92491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 w:rsidR="00C92491">
      <w:rPr>
        <w:color w:val="808080"/>
        <w:sz w:val="18"/>
        <w:szCs w:val="18"/>
      </w:rPr>
      <w:fldChar w:fldCharType="separate"/>
    </w:r>
    <w:r w:rsidR="00C92491">
      <w:rPr>
        <w:noProof/>
        <w:color w:val="808080"/>
        <w:sz w:val="18"/>
        <w:szCs w:val="18"/>
      </w:rPr>
      <w:t>16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53CC" w:rsidRDefault="004B53CC">
      <w:r>
        <w:separator/>
      </w:r>
    </w:p>
  </w:footnote>
  <w:footnote w:type="continuationSeparator" w:id="0">
    <w:p w:rsidR="004B53CC" w:rsidRDefault="004B53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0F74" w:rsidRDefault="004B53CC">
    <w:pPr>
      <w:pBdr>
        <w:bottom w:val="single" w:sz="4" w:space="4" w:color="0E4D5C"/>
      </w:pBdr>
      <w:jc w:val="right"/>
    </w:pPr>
    <w:r>
      <w:rPr>
        <w:color w:val="0E4D5C"/>
        <w:sz w:val="18"/>
        <w:szCs w:val="18"/>
      </w:rPr>
      <w:t>Engineering PRD · Twin-Tank Atmospheric Water Heater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05431E"/>
    <w:multiLevelType w:val="hybridMultilevel"/>
    <w:tmpl w:val="2BE8BD5C"/>
    <w:lvl w:ilvl="0" w:tplc="21565E32">
      <w:start w:val="1"/>
      <w:numFmt w:val="bullet"/>
      <w:lvlText w:val="•"/>
      <w:lvlJc w:val="left"/>
      <w:pPr>
        <w:ind w:left="360" w:hanging="240"/>
      </w:pPr>
    </w:lvl>
    <w:lvl w:ilvl="1" w:tplc="2D1CFC5C">
      <w:numFmt w:val="decimal"/>
      <w:lvlText w:val=""/>
      <w:lvlJc w:val="left"/>
    </w:lvl>
    <w:lvl w:ilvl="2" w:tplc="FB16095C">
      <w:numFmt w:val="decimal"/>
      <w:lvlText w:val=""/>
      <w:lvlJc w:val="left"/>
    </w:lvl>
    <w:lvl w:ilvl="3" w:tplc="810E9BE8">
      <w:numFmt w:val="decimal"/>
      <w:lvlText w:val=""/>
      <w:lvlJc w:val="left"/>
    </w:lvl>
    <w:lvl w:ilvl="4" w:tplc="9CD870B2">
      <w:numFmt w:val="decimal"/>
      <w:lvlText w:val=""/>
      <w:lvlJc w:val="left"/>
    </w:lvl>
    <w:lvl w:ilvl="5" w:tplc="B6FEB44A">
      <w:numFmt w:val="decimal"/>
      <w:lvlText w:val=""/>
      <w:lvlJc w:val="left"/>
    </w:lvl>
    <w:lvl w:ilvl="6" w:tplc="F418C13A">
      <w:numFmt w:val="decimal"/>
      <w:lvlText w:val=""/>
      <w:lvlJc w:val="left"/>
    </w:lvl>
    <w:lvl w:ilvl="7" w:tplc="417CB65C">
      <w:numFmt w:val="decimal"/>
      <w:lvlText w:val=""/>
      <w:lvlJc w:val="left"/>
    </w:lvl>
    <w:lvl w:ilvl="8" w:tplc="7CD0C646">
      <w:numFmt w:val="decimal"/>
      <w:lvlText w:val=""/>
      <w:lvlJc w:val="left"/>
    </w:lvl>
  </w:abstractNum>
  <w:abstractNum w:abstractNumId="1">
    <w:nsid w:val="1F7C04B4"/>
    <w:multiLevelType w:val="hybridMultilevel"/>
    <w:tmpl w:val="4F76DC90"/>
    <w:lvl w:ilvl="0" w:tplc="142E9978">
      <w:start w:val="1"/>
      <w:numFmt w:val="bullet"/>
      <w:lvlText w:val="●"/>
      <w:lvlJc w:val="left"/>
      <w:pPr>
        <w:ind w:left="720" w:hanging="360"/>
      </w:pPr>
    </w:lvl>
    <w:lvl w:ilvl="1" w:tplc="152E0E3C">
      <w:start w:val="1"/>
      <w:numFmt w:val="bullet"/>
      <w:lvlText w:val="○"/>
      <w:lvlJc w:val="left"/>
      <w:pPr>
        <w:ind w:left="1440" w:hanging="360"/>
      </w:pPr>
    </w:lvl>
    <w:lvl w:ilvl="2" w:tplc="9946AE4C">
      <w:start w:val="1"/>
      <w:numFmt w:val="bullet"/>
      <w:lvlText w:val="■"/>
      <w:lvlJc w:val="left"/>
      <w:pPr>
        <w:ind w:left="2160" w:hanging="360"/>
      </w:pPr>
    </w:lvl>
    <w:lvl w:ilvl="3" w:tplc="4964E26E">
      <w:start w:val="1"/>
      <w:numFmt w:val="bullet"/>
      <w:lvlText w:val="●"/>
      <w:lvlJc w:val="left"/>
      <w:pPr>
        <w:ind w:left="2880" w:hanging="360"/>
      </w:pPr>
    </w:lvl>
    <w:lvl w:ilvl="4" w:tplc="36F6DDF2">
      <w:start w:val="1"/>
      <w:numFmt w:val="bullet"/>
      <w:lvlText w:val="○"/>
      <w:lvlJc w:val="left"/>
      <w:pPr>
        <w:ind w:left="3600" w:hanging="360"/>
      </w:pPr>
    </w:lvl>
    <w:lvl w:ilvl="5" w:tplc="44EC75CC">
      <w:start w:val="1"/>
      <w:numFmt w:val="bullet"/>
      <w:lvlText w:val="■"/>
      <w:lvlJc w:val="left"/>
      <w:pPr>
        <w:ind w:left="4320" w:hanging="360"/>
      </w:pPr>
    </w:lvl>
    <w:lvl w:ilvl="6" w:tplc="B11CEE6E">
      <w:start w:val="1"/>
      <w:numFmt w:val="bullet"/>
      <w:lvlText w:val="●"/>
      <w:lvlJc w:val="left"/>
      <w:pPr>
        <w:ind w:left="5040" w:hanging="360"/>
      </w:pPr>
    </w:lvl>
    <w:lvl w:ilvl="7" w:tplc="968E480E">
      <w:start w:val="1"/>
      <w:numFmt w:val="bullet"/>
      <w:lvlText w:val="●"/>
      <w:lvlJc w:val="left"/>
      <w:pPr>
        <w:ind w:left="5760" w:hanging="360"/>
      </w:pPr>
    </w:lvl>
    <w:lvl w:ilvl="8" w:tplc="C54A3E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F74"/>
    <w:rsid w:val="004B53CC"/>
    <w:rsid w:val="00A50F74"/>
    <w:rsid w:val="00C92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8004C73-273C-4B6F-8C69-7E722DAEE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0E4D5C"/>
      <w:sz w:val="32"/>
      <w:szCs w:val="32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0E4D5C"/>
      <w:sz w:val="26"/>
      <w:szCs w:val="26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1F6E7E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4355</Words>
  <Characters>24829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Engineering PRD - Twin-Tank Atmospheric Water Heater</vt:lpstr>
    </vt:vector>
  </TitlesOfParts>
  <Company/>
  <LinksUpToDate>false</LinksUpToDate>
  <CharactersWithSpaces>29126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PRD - Twin-Tank Atmospheric Water Heater</dc:title>
  <dc:creator>Product Innovation Portfolio</dc:creator>
  <cp:lastModifiedBy>AA</cp:lastModifiedBy>
  <cp:revision>2</cp:revision>
  <dcterms:created xsi:type="dcterms:W3CDTF">2026-05-27T02:58:00Z</dcterms:created>
  <dcterms:modified xsi:type="dcterms:W3CDTF">2026-05-27T02:58:00Z</dcterms:modified>
</cp:coreProperties>
</file>