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D5845" w14:textId="3FC5A5E2" w:rsidR="008A004D" w:rsidRPr="008A004D" w:rsidRDefault="008A004D" w:rsidP="008A004D">
      <w:pPr>
        <w:rPr>
          <w:b/>
          <w:bCs/>
        </w:rPr>
      </w:pPr>
      <w:r w:rsidRPr="008A004D">
        <w:rPr>
          <w:b/>
          <w:bCs/>
        </w:rPr>
        <w:t>Global COVID-19 Impact Analysis – A Data-Driven Investigation with Smoking Impact</w:t>
      </w:r>
    </w:p>
    <w:p w14:paraId="01F02B02" w14:textId="77777777" w:rsidR="008A004D" w:rsidRPr="008A004D" w:rsidRDefault="008A004D" w:rsidP="008A004D">
      <w:r w:rsidRPr="008A004D">
        <w:pict w14:anchorId="7883DA3A">
          <v:rect id="_x0000_i1110" style="width:0;height:1.5pt" o:hralign="center" o:hrstd="t" o:hr="t" fillcolor="#a0a0a0" stroked="f"/>
        </w:pict>
      </w:r>
    </w:p>
    <w:p w14:paraId="75AE9A54" w14:textId="77777777" w:rsidR="008A004D" w:rsidRPr="008A004D" w:rsidRDefault="008A004D" w:rsidP="008A004D">
      <w:pPr>
        <w:rPr>
          <w:b/>
          <w:bCs/>
        </w:rPr>
      </w:pPr>
      <w:r w:rsidRPr="008A004D">
        <w:rPr>
          <w:b/>
          <w:bCs/>
        </w:rPr>
        <w:t>Executive Summary:</w:t>
      </w:r>
    </w:p>
    <w:p w14:paraId="466387F9" w14:textId="77777777" w:rsidR="008A004D" w:rsidRPr="008A004D" w:rsidRDefault="008A004D" w:rsidP="008A004D">
      <w:r w:rsidRPr="008A004D">
        <w:t>This report presents a comprehensive analysis of the global impact of COVID-19, incorporating key metrics such as total cases, deaths, vaccinations, stringency measures, and smoking prevalence. Notably, it explores how smoking behavior, particularly among males, correlates with COVID-19 mortality rates, providing valuable insights for health policy and risk management.</w:t>
      </w:r>
    </w:p>
    <w:p w14:paraId="736424CF" w14:textId="77777777" w:rsidR="008A004D" w:rsidRPr="008A004D" w:rsidRDefault="008A004D" w:rsidP="008A004D">
      <w:r w:rsidRPr="008A004D">
        <w:pict w14:anchorId="7557CB4B">
          <v:rect id="_x0000_i1111" style="width:0;height:1.5pt" o:hralign="center" o:hrstd="t" o:hr="t" fillcolor="#a0a0a0" stroked="f"/>
        </w:pict>
      </w:r>
    </w:p>
    <w:p w14:paraId="63E512BB" w14:textId="77777777" w:rsidR="008A004D" w:rsidRPr="008A004D" w:rsidRDefault="008A004D" w:rsidP="008A004D">
      <w:pPr>
        <w:rPr>
          <w:b/>
          <w:bCs/>
        </w:rPr>
      </w:pPr>
      <w:r w:rsidRPr="008A004D">
        <w:rPr>
          <w:b/>
          <w:bCs/>
        </w:rPr>
        <w:t>Key Findings:</w:t>
      </w:r>
    </w:p>
    <w:p w14:paraId="660C81BF" w14:textId="77777777" w:rsidR="008A004D" w:rsidRPr="008A004D" w:rsidRDefault="008A004D" w:rsidP="008A004D">
      <w:pPr>
        <w:rPr>
          <w:b/>
          <w:bCs/>
        </w:rPr>
      </w:pPr>
      <w:r w:rsidRPr="008A004D">
        <w:rPr>
          <w:rFonts w:ascii="Segoe UI Emoji" w:hAnsi="Segoe UI Emoji" w:cs="Segoe UI Emoji"/>
          <w:b/>
          <w:bCs/>
        </w:rPr>
        <w:t>🔹</w:t>
      </w:r>
      <w:r w:rsidRPr="008A004D">
        <w:rPr>
          <w:b/>
          <w:bCs/>
        </w:rPr>
        <w:t xml:space="preserve"> Global Metrics Overview:</w:t>
      </w:r>
    </w:p>
    <w:p w14:paraId="08DA7939" w14:textId="77777777" w:rsidR="008A004D" w:rsidRPr="008A004D" w:rsidRDefault="008A004D" w:rsidP="008A004D">
      <w:pPr>
        <w:numPr>
          <w:ilvl w:val="0"/>
          <w:numId w:val="4"/>
        </w:numPr>
      </w:pPr>
      <w:r w:rsidRPr="008A004D">
        <w:rPr>
          <w:b/>
          <w:bCs/>
        </w:rPr>
        <w:t>Total Cases:</w:t>
      </w:r>
      <w:r w:rsidRPr="008A004D">
        <w:t xml:space="preserve"> 308M</w:t>
      </w:r>
    </w:p>
    <w:p w14:paraId="40692459" w14:textId="77777777" w:rsidR="008A004D" w:rsidRPr="008A004D" w:rsidRDefault="008A004D" w:rsidP="008A004D">
      <w:pPr>
        <w:numPr>
          <w:ilvl w:val="0"/>
          <w:numId w:val="4"/>
        </w:numPr>
      </w:pPr>
      <w:r w:rsidRPr="008A004D">
        <w:rPr>
          <w:b/>
          <w:bCs/>
        </w:rPr>
        <w:t>Total Deaths:</w:t>
      </w:r>
      <w:r w:rsidRPr="008A004D">
        <w:t xml:space="preserve"> 5M</w:t>
      </w:r>
    </w:p>
    <w:p w14:paraId="1CA43D5B" w14:textId="77777777" w:rsidR="008A004D" w:rsidRPr="008A004D" w:rsidRDefault="008A004D" w:rsidP="008A004D">
      <w:pPr>
        <w:numPr>
          <w:ilvl w:val="0"/>
          <w:numId w:val="4"/>
        </w:numPr>
      </w:pPr>
      <w:r w:rsidRPr="008A004D">
        <w:rPr>
          <w:b/>
          <w:bCs/>
        </w:rPr>
        <w:t>Cases Per Billion:</w:t>
      </w:r>
      <w:r w:rsidRPr="008A004D">
        <w:t xml:space="preserve"> 15.68M</w:t>
      </w:r>
    </w:p>
    <w:p w14:paraId="63D2896C" w14:textId="77777777" w:rsidR="008A004D" w:rsidRPr="008A004D" w:rsidRDefault="008A004D" w:rsidP="008A004D">
      <w:pPr>
        <w:numPr>
          <w:ilvl w:val="0"/>
          <w:numId w:val="4"/>
        </w:numPr>
      </w:pPr>
      <w:r w:rsidRPr="008A004D">
        <w:rPr>
          <w:b/>
          <w:bCs/>
        </w:rPr>
        <w:t>Fully Vaccinated:</w:t>
      </w:r>
      <w:r w:rsidRPr="008A004D">
        <w:t xml:space="preserve"> 2.22B</w:t>
      </w:r>
    </w:p>
    <w:p w14:paraId="1EEEEB5F" w14:textId="77777777" w:rsidR="008A004D" w:rsidRPr="008A004D" w:rsidRDefault="008A004D" w:rsidP="008A004D">
      <w:pPr>
        <w:numPr>
          <w:ilvl w:val="0"/>
          <w:numId w:val="4"/>
        </w:numPr>
      </w:pPr>
      <w:r w:rsidRPr="008A004D">
        <w:rPr>
          <w:b/>
          <w:bCs/>
        </w:rPr>
        <w:t>Average Stringency Index:</w:t>
      </w:r>
      <w:r w:rsidRPr="008A004D">
        <w:t xml:space="preserve"> 45.74</w:t>
      </w:r>
    </w:p>
    <w:p w14:paraId="4EC86E02" w14:textId="77777777" w:rsidR="008A004D" w:rsidRPr="008A004D" w:rsidRDefault="008A004D" w:rsidP="008A004D">
      <w:r w:rsidRPr="008A004D">
        <w:pict w14:anchorId="441EEF90">
          <v:rect id="_x0000_i1112" style="width:0;height:1.5pt" o:hralign="center" o:hrstd="t" o:hr="t" fillcolor="#a0a0a0" stroked="f"/>
        </w:pict>
      </w:r>
    </w:p>
    <w:p w14:paraId="7A311C0A" w14:textId="77777777" w:rsidR="008A004D" w:rsidRPr="008A004D" w:rsidRDefault="008A004D" w:rsidP="008A004D">
      <w:pPr>
        <w:rPr>
          <w:b/>
          <w:bCs/>
        </w:rPr>
      </w:pPr>
      <w:r w:rsidRPr="008A004D">
        <w:rPr>
          <w:rFonts w:ascii="Segoe UI Emoji" w:hAnsi="Segoe UI Emoji" w:cs="Segoe UI Emoji"/>
          <w:b/>
          <w:bCs/>
        </w:rPr>
        <w:t>🔹</w:t>
      </w:r>
      <w:r w:rsidRPr="008A004D">
        <w:rPr>
          <w:b/>
          <w:bCs/>
        </w:rPr>
        <w:t xml:space="preserve"> Geographical Impact:</w:t>
      </w:r>
    </w:p>
    <w:p w14:paraId="490D9941" w14:textId="77777777" w:rsidR="008A004D" w:rsidRPr="008A004D" w:rsidRDefault="008A004D" w:rsidP="008A004D">
      <w:pPr>
        <w:numPr>
          <w:ilvl w:val="0"/>
          <w:numId w:val="5"/>
        </w:numPr>
      </w:pPr>
      <w:r w:rsidRPr="008A004D">
        <w:rPr>
          <w:b/>
          <w:bCs/>
        </w:rPr>
        <w:t>Highest Cases:</w:t>
      </w:r>
      <w:r w:rsidRPr="008A004D">
        <w:t xml:space="preserve"> Europe (29M) and Asia (28M), followed by North America (23M) and South America (15M).</w:t>
      </w:r>
    </w:p>
    <w:p w14:paraId="29BD2290" w14:textId="77777777" w:rsidR="008A004D" w:rsidRPr="008A004D" w:rsidRDefault="008A004D" w:rsidP="008A004D">
      <w:pPr>
        <w:numPr>
          <w:ilvl w:val="0"/>
          <w:numId w:val="5"/>
        </w:numPr>
      </w:pPr>
      <w:r w:rsidRPr="008A004D">
        <w:rPr>
          <w:b/>
          <w:bCs/>
        </w:rPr>
        <w:t>Lower Cases:</w:t>
      </w:r>
      <w:r w:rsidRPr="008A004D">
        <w:t xml:space="preserve"> Africa and Oceania show relatively fewer cases, highlighting either effective containment, underreporting, or lower testing capacities.</w:t>
      </w:r>
    </w:p>
    <w:p w14:paraId="57E3C0E2" w14:textId="77777777" w:rsidR="008A004D" w:rsidRPr="008A004D" w:rsidRDefault="008A004D" w:rsidP="008A004D">
      <w:r w:rsidRPr="008A004D">
        <w:pict w14:anchorId="71D92FC4">
          <v:rect id="_x0000_i1113" style="width:0;height:1.5pt" o:hralign="center" o:hrstd="t" o:hr="t" fillcolor="#a0a0a0" stroked="f"/>
        </w:pict>
      </w:r>
    </w:p>
    <w:p w14:paraId="576B7E62" w14:textId="77777777" w:rsidR="008A004D" w:rsidRPr="008A004D" w:rsidRDefault="008A004D" w:rsidP="008A004D">
      <w:pPr>
        <w:rPr>
          <w:b/>
          <w:bCs/>
        </w:rPr>
      </w:pPr>
      <w:r w:rsidRPr="008A004D">
        <w:rPr>
          <w:rFonts w:ascii="Segoe UI Emoji" w:hAnsi="Segoe UI Emoji" w:cs="Segoe UI Emoji"/>
          <w:b/>
          <w:bCs/>
        </w:rPr>
        <w:t>🔹</w:t>
      </w:r>
      <w:r w:rsidRPr="008A004D">
        <w:rPr>
          <w:b/>
          <w:bCs/>
        </w:rPr>
        <w:t xml:space="preserve"> Government Stringency Response:</w:t>
      </w:r>
    </w:p>
    <w:p w14:paraId="51DC5F1A" w14:textId="77777777" w:rsidR="008A004D" w:rsidRPr="008A004D" w:rsidRDefault="008A004D" w:rsidP="008A004D">
      <w:pPr>
        <w:numPr>
          <w:ilvl w:val="0"/>
          <w:numId w:val="6"/>
        </w:numPr>
      </w:pPr>
      <w:r w:rsidRPr="008A004D">
        <w:t>Countries such as Germany, Myanmar, and Canada maintained higher stringency levels, indicating strict lockdowns and restrictions, while others reduced restrictions over time.</w:t>
      </w:r>
    </w:p>
    <w:p w14:paraId="0E3938B2" w14:textId="77777777" w:rsidR="008A004D" w:rsidRPr="008A004D" w:rsidRDefault="008A004D" w:rsidP="008A004D">
      <w:r w:rsidRPr="008A004D">
        <w:pict w14:anchorId="340A64D8">
          <v:rect id="_x0000_i1114" style="width:0;height:1.5pt" o:hralign="center" o:hrstd="t" o:hr="t" fillcolor="#a0a0a0" stroked="f"/>
        </w:pict>
      </w:r>
    </w:p>
    <w:p w14:paraId="4440CCBF" w14:textId="77777777" w:rsidR="008A004D" w:rsidRPr="008A004D" w:rsidRDefault="008A004D" w:rsidP="008A004D">
      <w:pPr>
        <w:rPr>
          <w:b/>
          <w:bCs/>
        </w:rPr>
      </w:pPr>
      <w:r w:rsidRPr="008A004D">
        <w:rPr>
          <w:rFonts w:ascii="Segoe UI Emoji" w:hAnsi="Segoe UI Emoji" w:cs="Segoe UI Emoji"/>
          <w:b/>
          <w:bCs/>
        </w:rPr>
        <w:t>🔹</w:t>
      </w:r>
      <w:r w:rsidRPr="008A004D">
        <w:rPr>
          <w:b/>
          <w:bCs/>
        </w:rPr>
        <w:t xml:space="preserve"> Smoking and COVID-19 Mortality Relationship:</w:t>
      </w:r>
    </w:p>
    <w:p w14:paraId="04FB8B30" w14:textId="77777777" w:rsidR="008A004D" w:rsidRPr="008A004D" w:rsidRDefault="008A004D" w:rsidP="008A004D">
      <w:pPr>
        <w:numPr>
          <w:ilvl w:val="0"/>
          <w:numId w:val="7"/>
        </w:numPr>
      </w:pPr>
      <w:r w:rsidRPr="008A004D">
        <w:lastRenderedPageBreak/>
        <w:t xml:space="preserve">A scatter plot analysis reveals a </w:t>
      </w:r>
      <w:r w:rsidRPr="008A004D">
        <w:rPr>
          <w:b/>
          <w:bCs/>
        </w:rPr>
        <w:t>positive correlation between male smoking prevalence and deaths per 100K population</w:t>
      </w:r>
      <w:r w:rsidRPr="008A004D">
        <w:t xml:space="preserve"> in many countries.</w:t>
      </w:r>
    </w:p>
    <w:p w14:paraId="41177512" w14:textId="77777777" w:rsidR="008A004D" w:rsidRPr="008A004D" w:rsidRDefault="008A004D" w:rsidP="008A004D">
      <w:pPr>
        <w:numPr>
          <w:ilvl w:val="0"/>
          <w:numId w:val="7"/>
        </w:numPr>
      </w:pPr>
      <w:r w:rsidRPr="008A004D">
        <w:t>Countries with higher male smoking rates tend to have elevated COVID-19 mortality rates, suggesting that smoking may exacerbate COVID-19 outcomes due to its impact on lung health and immunity.</w:t>
      </w:r>
    </w:p>
    <w:p w14:paraId="3BF31C11" w14:textId="77777777" w:rsidR="008A004D" w:rsidRPr="008A004D" w:rsidRDefault="008A004D" w:rsidP="008A004D">
      <w:pPr>
        <w:numPr>
          <w:ilvl w:val="0"/>
          <w:numId w:val="7"/>
        </w:numPr>
      </w:pPr>
      <w:r w:rsidRPr="008A004D">
        <w:t>Examples of higher-risk countries include nations with both high male smoking rates and high death rates (e.g., parts of Europe and Southeast Asia).</w:t>
      </w:r>
    </w:p>
    <w:p w14:paraId="78887A8F" w14:textId="77777777" w:rsidR="008A004D" w:rsidRPr="008A004D" w:rsidRDefault="008A004D" w:rsidP="008A004D">
      <w:r w:rsidRPr="008A004D">
        <w:pict w14:anchorId="0DCB8904">
          <v:rect id="_x0000_i1115" style="width:0;height:1.5pt" o:hralign="center" o:hrstd="t" o:hr="t" fillcolor="#a0a0a0" stroked="f"/>
        </w:pict>
      </w:r>
    </w:p>
    <w:p w14:paraId="26D2BD9B" w14:textId="77777777" w:rsidR="008A004D" w:rsidRPr="008A004D" w:rsidRDefault="008A004D" w:rsidP="008A004D">
      <w:pPr>
        <w:rPr>
          <w:b/>
          <w:bCs/>
        </w:rPr>
      </w:pPr>
      <w:r w:rsidRPr="008A004D">
        <w:rPr>
          <w:rFonts w:ascii="Segoe UI Emoji" w:hAnsi="Segoe UI Emoji" w:cs="Segoe UI Emoji"/>
          <w:b/>
          <w:bCs/>
        </w:rPr>
        <w:t>🔹</w:t>
      </w:r>
      <w:r w:rsidRPr="008A004D">
        <w:rPr>
          <w:b/>
          <w:bCs/>
        </w:rPr>
        <w:t xml:space="preserve"> Temporal Trends:</w:t>
      </w:r>
    </w:p>
    <w:p w14:paraId="7DC0AE4F" w14:textId="77777777" w:rsidR="008A004D" w:rsidRPr="008A004D" w:rsidRDefault="008A004D" w:rsidP="008A004D">
      <w:pPr>
        <w:numPr>
          <w:ilvl w:val="0"/>
          <w:numId w:val="8"/>
        </w:numPr>
      </w:pPr>
      <w:r w:rsidRPr="008A004D">
        <w:t>Peak case counts and deaths occurred in late 2021 to early 2022, aligning with the emergence of new variants.</w:t>
      </w:r>
    </w:p>
    <w:p w14:paraId="63EC0615" w14:textId="77777777" w:rsidR="008A004D" w:rsidRPr="008A004D" w:rsidRDefault="008A004D" w:rsidP="008A004D">
      <w:pPr>
        <w:numPr>
          <w:ilvl w:val="0"/>
          <w:numId w:val="8"/>
        </w:numPr>
      </w:pPr>
      <w:r w:rsidRPr="008A004D">
        <w:t>A decline in new cases followed as vaccination rates increased and restrictions adapted.</w:t>
      </w:r>
    </w:p>
    <w:p w14:paraId="70B2375B" w14:textId="77777777" w:rsidR="008A004D" w:rsidRPr="008A004D" w:rsidRDefault="008A004D" w:rsidP="008A004D">
      <w:r w:rsidRPr="008A004D">
        <w:pict w14:anchorId="54540A0F">
          <v:rect id="_x0000_i1116" style="width:0;height:1.5pt" o:hralign="center" o:hrstd="t" o:hr="t" fillcolor="#a0a0a0" stroked="f"/>
        </w:pict>
      </w:r>
    </w:p>
    <w:p w14:paraId="00029533" w14:textId="77777777" w:rsidR="008A004D" w:rsidRPr="008A004D" w:rsidRDefault="008A004D" w:rsidP="008A004D">
      <w:pPr>
        <w:rPr>
          <w:b/>
          <w:bCs/>
        </w:rPr>
      </w:pPr>
      <w:r w:rsidRPr="008A004D">
        <w:rPr>
          <w:b/>
          <w:bCs/>
        </w:rPr>
        <w:t>Implications for Business and Policy:</w:t>
      </w:r>
    </w:p>
    <w:p w14:paraId="7E2271CE" w14:textId="77777777" w:rsidR="008A004D" w:rsidRPr="008A004D" w:rsidRDefault="008A004D" w:rsidP="008A004D">
      <w:pPr>
        <w:numPr>
          <w:ilvl w:val="0"/>
          <w:numId w:val="9"/>
        </w:numPr>
      </w:pPr>
      <w:r w:rsidRPr="008A004D">
        <w:rPr>
          <w:b/>
          <w:bCs/>
        </w:rPr>
        <w:t>Public Health Focus:</w:t>
      </w:r>
      <w:r w:rsidRPr="008A004D">
        <w:br/>
        <w:t>Countries with high smoking rates should be prioritized for respiratory health interventions, vaccination drives, and COVID-19 education campaigns.</w:t>
      </w:r>
    </w:p>
    <w:p w14:paraId="0A74F975" w14:textId="77777777" w:rsidR="008A004D" w:rsidRPr="008A004D" w:rsidRDefault="008A004D" w:rsidP="008A004D">
      <w:pPr>
        <w:numPr>
          <w:ilvl w:val="0"/>
          <w:numId w:val="9"/>
        </w:numPr>
      </w:pPr>
      <w:r w:rsidRPr="008A004D">
        <w:rPr>
          <w:b/>
          <w:bCs/>
        </w:rPr>
        <w:t>Risk Assessment:</w:t>
      </w:r>
      <w:r w:rsidRPr="008A004D">
        <w:br/>
        <w:t>Businesses operating in regions with higher mortality linked to smoking may face greater workforce health risks, requiring enhanced safety protocols and contingency planning.</w:t>
      </w:r>
    </w:p>
    <w:p w14:paraId="4492A418" w14:textId="77777777" w:rsidR="008A004D" w:rsidRPr="008A004D" w:rsidRDefault="008A004D" w:rsidP="008A004D">
      <w:pPr>
        <w:numPr>
          <w:ilvl w:val="0"/>
          <w:numId w:val="9"/>
        </w:numPr>
      </w:pPr>
      <w:r w:rsidRPr="008A004D">
        <w:rPr>
          <w:b/>
          <w:bCs/>
        </w:rPr>
        <w:t>Healthcare Sector:</w:t>
      </w:r>
      <w:r w:rsidRPr="008A004D">
        <w:br/>
        <w:t>Increased demand for respiratory-related healthcare services, oxygen supplies, and smoking cessation programs in high-risk regions.</w:t>
      </w:r>
    </w:p>
    <w:p w14:paraId="48ADF519" w14:textId="77777777" w:rsidR="008A004D" w:rsidRPr="008A004D" w:rsidRDefault="008A004D" w:rsidP="008A004D">
      <w:pPr>
        <w:numPr>
          <w:ilvl w:val="0"/>
          <w:numId w:val="9"/>
        </w:numPr>
      </w:pPr>
      <w:r w:rsidRPr="008A004D">
        <w:rPr>
          <w:b/>
          <w:bCs/>
        </w:rPr>
        <w:t>Policy Influence:</w:t>
      </w:r>
      <w:r w:rsidRPr="008A004D">
        <w:br/>
        <w:t>Policymakers should consider integrating smoking reduction initiatives as part of long-term pandemic preparedness and response strategies.</w:t>
      </w:r>
    </w:p>
    <w:p w14:paraId="54A0ABC1" w14:textId="77777777" w:rsidR="008A004D" w:rsidRPr="008A004D" w:rsidRDefault="008A004D" w:rsidP="008A004D">
      <w:r w:rsidRPr="008A004D">
        <w:pict w14:anchorId="3712D6B6">
          <v:rect id="_x0000_i1117" style="width:0;height:1.5pt" o:hralign="center" o:hrstd="t" o:hr="t" fillcolor="#a0a0a0" stroked="f"/>
        </w:pict>
      </w:r>
    </w:p>
    <w:p w14:paraId="32E9E5A1" w14:textId="77777777" w:rsidR="008A004D" w:rsidRPr="008A004D" w:rsidRDefault="008A004D" w:rsidP="008A004D">
      <w:pPr>
        <w:rPr>
          <w:b/>
          <w:bCs/>
        </w:rPr>
      </w:pPr>
      <w:r w:rsidRPr="008A004D">
        <w:rPr>
          <w:b/>
          <w:bCs/>
        </w:rPr>
        <w:t>Recommendations:</w:t>
      </w:r>
    </w:p>
    <w:p w14:paraId="521B1526" w14:textId="77777777" w:rsidR="008A004D" w:rsidRPr="008A004D" w:rsidRDefault="008A004D" w:rsidP="008A004D">
      <w:pPr>
        <w:numPr>
          <w:ilvl w:val="0"/>
          <w:numId w:val="10"/>
        </w:numPr>
      </w:pPr>
      <w:r w:rsidRPr="008A004D">
        <w:rPr>
          <w:b/>
          <w:bCs/>
        </w:rPr>
        <w:t>Targeted Interventions:</w:t>
      </w:r>
      <w:r w:rsidRPr="008A004D">
        <w:br/>
        <w:t>Deploy health campaigns addressing smoking reduction alongside vaccination in vulnerable countries.</w:t>
      </w:r>
    </w:p>
    <w:p w14:paraId="74072D77" w14:textId="77777777" w:rsidR="008A004D" w:rsidRPr="008A004D" w:rsidRDefault="008A004D" w:rsidP="008A004D">
      <w:pPr>
        <w:numPr>
          <w:ilvl w:val="0"/>
          <w:numId w:val="10"/>
        </w:numPr>
      </w:pPr>
      <w:r w:rsidRPr="008A004D">
        <w:rPr>
          <w:b/>
          <w:bCs/>
        </w:rPr>
        <w:lastRenderedPageBreak/>
        <w:t>Enhanced Health Policies:</w:t>
      </w:r>
      <w:r w:rsidRPr="008A004D">
        <w:br/>
        <w:t>Governments should strengthen anti-smoking laws as a parallel approach to pandemic control.</w:t>
      </w:r>
    </w:p>
    <w:p w14:paraId="52682631" w14:textId="77777777" w:rsidR="008A004D" w:rsidRPr="008A004D" w:rsidRDefault="008A004D" w:rsidP="008A004D">
      <w:pPr>
        <w:numPr>
          <w:ilvl w:val="0"/>
          <w:numId w:val="10"/>
        </w:numPr>
      </w:pPr>
      <w:r w:rsidRPr="008A004D">
        <w:rPr>
          <w:b/>
          <w:bCs/>
        </w:rPr>
        <w:t>Business Health Protocols:</w:t>
      </w:r>
      <w:r w:rsidRPr="008A004D">
        <w:br/>
        <w:t>Companies in high-smoking prevalence areas should offer additional healthcare benefits, testing, and remote work options.</w:t>
      </w:r>
    </w:p>
    <w:p w14:paraId="008DF84D" w14:textId="77777777" w:rsidR="008A004D" w:rsidRPr="008A004D" w:rsidRDefault="008A004D" w:rsidP="008A004D">
      <w:pPr>
        <w:numPr>
          <w:ilvl w:val="0"/>
          <w:numId w:val="10"/>
        </w:numPr>
      </w:pPr>
      <w:r w:rsidRPr="008A004D">
        <w:rPr>
          <w:b/>
          <w:bCs/>
        </w:rPr>
        <w:t>Data Monitoring:</w:t>
      </w:r>
      <w:r w:rsidRPr="008A004D">
        <w:br/>
        <w:t>Continuously track the interplay between comorbidities like smoking and COVID-19 outcomes for future resilience planning.</w:t>
      </w:r>
    </w:p>
    <w:p w14:paraId="617B54EC" w14:textId="77777777" w:rsidR="008A004D" w:rsidRPr="008A004D" w:rsidRDefault="008A004D" w:rsidP="008A004D">
      <w:r w:rsidRPr="008A004D">
        <w:pict w14:anchorId="68C3E838">
          <v:rect id="_x0000_i1118" style="width:0;height:1.5pt" o:hralign="center" o:hrstd="t" o:hr="t" fillcolor="#a0a0a0" stroked="f"/>
        </w:pict>
      </w:r>
    </w:p>
    <w:p w14:paraId="5375CF5B" w14:textId="77777777" w:rsidR="008A004D" w:rsidRPr="008A004D" w:rsidRDefault="008A004D" w:rsidP="008A004D">
      <w:pPr>
        <w:rPr>
          <w:b/>
          <w:bCs/>
        </w:rPr>
      </w:pPr>
      <w:r w:rsidRPr="008A004D">
        <w:rPr>
          <w:b/>
          <w:bCs/>
        </w:rPr>
        <w:t>Conclusion:</w:t>
      </w:r>
    </w:p>
    <w:p w14:paraId="69A0B165" w14:textId="77777777" w:rsidR="008A004D" w:rsidRPr="008A004D" w:rsidRDefault="008A004D" w:rsidP="008A004D">
      <w:r w:rsidRPr="008A004D">
        <w:t>The inclusion of smoking prevalence in this analysis reveals an essential comorbidity factor impacting COVID-19 mortality rates. This deeper understanding underscores the interconnectedness of public health challenges and highlights actionable pathways for governments, healthcare systems, and businesses.</w:t>
      </w:r>
    </w:p>
    <w:p w14:paraId="54C259A4" w14:textId="77777777" w:rsidR="008A004D" w:rsidRPr="008A004D" w:rsidRDefault="008A004D" w:rsidP="008A004D">
      <w:r w:rsidRPr="008A004D">
        <w:pict w14:anchorId="3EB09FF5">
          <v:rect id="_x0000_i1119" style="width:0;height:1.5pt" o:hralign="center" o:hrstd="t" o:hr="t" fillcolor="#a0a0a0" stroked="f"/>
        </w:pict>
      </w:r>
    </w:p>
    <w:p w14:paraId="10352C00" w14:textId="77777777" w:rsidR="00C3254C" w:rsidRPr="008A004D" w:rsidRDefault="00C3254C" w:rsidP="008A004D"/>
    <w:sectPr w:rsidR="00C3254C" w:rsidRPr="008A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1AEB"/>
    <w:multiLevelType w:val="multilevel"/>
    <w:tmpl w:val="B512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10ED7"/>
    <w:multiLevelType w:val="multilevel"/>
    <w:tmpl w:val="E74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151D1"/>
    <w:multiLevelType w:val="multilevel"/>
    <w:tmpl w:val="EFB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B46E9"/>
    <w:multiLevelType w:val="multilevel"/>
    <w:tmpl w:val="392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B7082"/>
    <w:multiLevelType w:val="multilevel"/>
    <w:tmpl w:val="D9A6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59C1"/>
    <w:multiLevelType w:val="multilevel"/>
    <w:tmpl w:val="08B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75365"/>
    <w:multiLevelType w:val="multilevel"/>
    <w:tmpl w:val="371C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93D55"/>
    <w:multiLevelType w:val="multilevel"/>
    <w:tmpl w:val="6F3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70DDA"/>
    <w:multiLevelType w:val="multilevel"/>
    <w:tmpl w:val="116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539B7"/>
    <w:multiLevelType w:val="multilevel"/>
    <w:tmpl w:val="CE82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329106">
    <w:abstractNumId w:val="6"/>
  </w:num>
  <w:num w:numId="2" w16cid:durableId="1793792624">
    <w:abstractNumId w:val="4"/>
  </w:num>
  <w:num w:numId="3" w16cid:durableId="268701592">
    <w:abstractNumId w:val="9"/>
  </w:num>
  <w:num w:numId="4" w16cid:durableId="11303266">
    <w:abstractNumId w:val="8"/>
  </w:num>
  <w:num w:numId="5" w16cid:durableId="1468623663">
    <w:abstractNumId w:val="7"/>
  </w:num>
  <w:num w:numId="6" w16cid:durableId="1319190276">
    <w:abstractNumId w:val="1"/>
  </w:num>
  <w:num w:numId="7" w16cid:durableId="746682807">
    <w:abstractNumId w:val="2"/>
  </w:num>
  <w:num w:numId="8" w16cid:durableId="683945801">
    <w:abstractNumId w:val="3"/>
  </w:num>
  <w:num w:numId="9" w16cid:durableId="1457870980">
    <w:abstractNumId w:val="5"/>
  </w:num>
  <w:num w:numId="10" w16cid:durableId="157890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CF"/>
    <w:rsid w:val="005036A7"/>
    <w:rsid w:val="005C02CF"/>
    <w:rsid w:val="00643003"/>
    <w:rsid w:val="006D1B42"/>
    <w:rsid w:val="008A004D"/>
    <w:rsid w:val="00C3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7688"/>
  <w15:chartTrackingRefBased/>
  <w15:docId w15:val="{536C67D1-9F67-4034-9F4A-F76E4553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2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2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2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2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2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2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2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2025-06-26T14:11:00Z</dcterms:created>
  <dcterms:modified xsi:type="dcterms:W3CDTF">2025-06-26T14:11:00Z</dcterms:modified>
</cp:coreProperties>
</file>