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7: National Association of Boutique Consultancies - Education Partnership</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22,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Association sponsorship and content partnership</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Jules Carter (HubSpot Field Marketing); Elena Rossi (NABC Executive Director); Mark Feldman (NABC Board Treasurer); Sade Lewis (NABC Member Programs Lead)</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Explore an educational program on AI-enabled business development for small consulting firms.</w:t>
            </w:r>
          </w:p>
        </w:tc>
      </w:tr>
    </w:tbl>
    <w:p>
      <w:pPr>
        <w:pStyle w:val="Heading1"/>
      </w:pPr>
      <w:r>
        <w:t>Discussion Notes</w:t>
      </w:r>
    </w:p>
    <w:p>
      <w:pPr>
        <w:spacing w:after="140"/>
      </w:pPr>
      <w:r>
        <w:t>The National Association of Boutique Consultancies is a fictional member organization representing small advisory firms. Elena said members are asking how AI changes referral-based selling, proposal development, and account expansion. She is interested in a webinar series and an optional assessment tool, but she does not want the association to endorse a single CRM platform.</w:t>
      </w:r>
    </w:p>
    <w:p>
      <w:pPr>
        <w:spacing w:after="140"/>
      </w:pPr>
      <w:r>
        <w:t>Mark emphasized financial and reputational risk. He asked whether a sponsor would expect member lists, sales leads, or category exclusivity. Jules stated that HubSpot should not request member contact data without a clearly approved consent process and that no exclusivity should be assumed. Sade proposed a practical session titled "Is Your Firm Ready for AI-Assisted Growth?" that would cover process and data readiness before discussing tools. She noted that other software vendors may be invited to contribute resources, which Maya viewed as acceptable if the format remains educational.</w:t>
      </w:r>
    </w:p>
    <w:p>
      <w:pPr>
        <w:spacing w:after="140"/>
      </w:pPr>
      <w:r>
        <w:t>The group tentatively supported a single pilot webinar followed by a member survey. The association will judge success by attendance, usefulness ratings, and requests for additional content - not by immediate sales conversions. No sponsorship amount, lead-sharing arrangement, or date was approved.</w:t>
      </w:r>
    </w:p>
    <w:p>
      <w:pPr>
        <w:pStyle w:val="Heading1"/>
      </w:pPr>
      <w:r>
        <w:t>Where the Meeting Was Left</w:t>
      </w:r>
    </w:p>
    <w:p>
      <w:pPr>
        <w:pStyle w:val="ListBullet"/>
        <w:spacing w:after="60"/>
      </w:pPr>
      <w:r>
        <w:t>Sade will draft learning objectives and a member-neutral content policy.</w:t>
      </w:r>
    </w:p>
    <w:p>
      <w:pPr>
        <w:pStyle w:val="ListBullet"/>
        <w:spacing w:after="60"/>
      </w:pPr>
      <w:r>
        <w:t>Jules will propose two webinar formats that do not require sharing member data.</w:t>
      </w:r>
    </w:p>
    <w:p>
      <w:pPr>
        <w:pStyle w:val="ListBullet"/>
        <w:spacing w:after="60"/>
      </w:pPr>
      <w:r>
        <w:t>Mark will review sponsorship guardrails with the board.</w:t>
      </w:r>
    </w:p>
    <w:p>
      <w:pPr>
        <w:pStyle w:val="ListBullet"/>
        <w:spacing w:after="60"/>
      </w:pPr>
      <w:r>
        <w:t>Maya will research current professional-services AI adoption themes to ensure the session addresses timely questions.</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Association of Boutique Consultancies - Education Partnership</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