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Bdr>
          <w:bottom w:val="single" w:sz="10" w:space="1" w:color="1F7A3F"/>
        </w:pBdr>
      </w:pPr>
      <w:r>
        <w:t>Meeting 8: Finley Growth Capital - Portfolio CRM Standardization Discussion</w:t>
      </w:r>
    </w:p>
    <w:p>
      <w:pPr>
        <w:spacing w:after="200"/>
        <w:jc w:val="left"/>
      </w:pPr>
      <w:r>
        <w:rPr>
          <w:b/>
          <w:color w:val="5B6570"/>
          <w:sz w:val="18"/>
        </w:rPr>
        <w:t>INVENTED MEETING NOTES FOR A REAL-COMPANY SCENARIO</w:t>
      </w:r>
    </w:p>
    <w:tbl>
      <w:tblPr>
        <w:tblW w:type="auto" w:w="0"/>
        <w:jc w:val="left"/>
        <w:tblLayout w:type="fixed"/>
        <w:tblLook w:firstColumn="1" w:firstRow="1" w:lastColumn="0" w:lastRow="0" w:noHBand="0" w:noVBand="1" w:val="04A0"/>
      </w:tblPr>
      <w:tblGrid>
        <w:gridCol w:w="2232"/>
        <w:gridCol w:w="8568"/>
      </w:tblGrid>
      <w:tr>
        <w:tc>
          <w:tcPr>
            <w:tcW w:type="dxa" w:w="2232"/>
            <w:shd w:fill="EEF6F0"/>
            <w:tcMar>
              <w:top w:w="70" w:type="dxa"/>
              <w:start w:w="100" w:type="dxa"/>
              <w:bottom w:w="70" w:type="dxa"/>
              <w:end w:w="100" w:type="dxa"/>
            </w:tcMar>
            <w:vAlign w:val="center"/>
          </w:tcPr>
          <w:p>
            <w:pPr>
              <w:spacing w:after="0"/>
            </w:pPr>
            <w:r>
              <w:rPr>
                <w:b/>
                <w:color w:val="1F7A3F"/>
              </w:rPr>
              <w:t>Date</w:t>
            </w:r>
          </w:p>
        </w:tc>
        <w:tc>
          <w:tcPr>
            <w:tcW w:type="dxa" w:w="8568"/>
            <w:tcMar>
              <w:top w:w="70" w:type="dxa"/>
              <w:start w:w="100" w:type="dxa"/>
              <w:bottom w:w="70" w:type="dxa"/>
              <w:end w:w="100" w:type="dxa"/>
            </w:tcMar>
            <w:vAlign w:val="center"/>
          </w:tcPr>
          <w:p>
            <w:pPr>
              <w:spacing w:after="0"/>
            </w:pPr>
            <w:r>
              <w:t>July 23, 2026</w:t>
            </w:r>
          </w:p>
        </w:tc>
      </w:tr>
      <w:tr>
        <w:tc>
          <w:tcPr>
            <w:tcW w:type="dxa" w:w="2232"/>
            <w:shd w:fill="EEF6F0"/>
            <w:tcMar>
              <w:top w:w="70" w:type="dxa"/>
              <w:start w:w="100" w:type="dxa"/>
              <w:bottom w:w="70" w:type="dxa"/>
              <w:end w:w="100" w:type="dxa"/>
            </w:tcMar>
            <w:vAlign w:val="center"/>
          </w:tcPr>
          <w:p>
            <w:pPr>
              <w:spacing w:after="0"/>
            </w:pPr>
            <w:r>
              <w:rPr>
                <w:b/>
                <w:color w:val="1F7A3F"/>
              </w:rPr>
              <w:t>Meeting type</w:t>
            </w:r>
          </w:p>
        </w:tc>
        <w:tc>
          <w:tcPr>
            <w:tcW w:type="dxa" w:w="8568"/>
            <w:tcMar>
              <w:top w:w="70" w:type="dxa"/>
              <w:start w:w="100" w:type="dxa"/>
              <w:bottom w:w="70" w:type="dxa"/>
              <w:end w:w="100" w:type="dxa"/>
            </w:tcMar>
            <w:vAlign w:val="center"/>
          </w:tcPr>
          <w:p>
            <w:pPr>
              <w:spacing w:after="0"/>
            </w:pPr>
            <w:r>
              <w:t>Strategic portfolio partnership discussion</w:t>
            </w:r>
          </w:p>
        </w:tc>
      </w:tr>
      <w:tr>
        <w:tc>
          <w:tcPr>
            <w:tcW w:type="dxa" w:w="2232"/>
            <w:shd w:fill="EEF6F0"/>
            <w:tcMar>
              <w:top w:w="70" w:type="dxa"/>
              <w:start w:w="100" w:type="dxa"/>
              <w:bottom w:w="70" w:type="dxa"/>
              <w:end w:w="100" w:type="dxa"/>
            </w:tcMar>
            <w:vAlign w:val="center"/>
          </w:tcPr>
          <w:p>
            <w:pPr>
              <w:spacing w:after="0"/>
            </w:pPr>
            <w:r>
              <w:rPr>
                <w:b/>
                <w:color w:val="1F7A3F"/>
              </w:rPr>
              <w:t>Participants</w:t>
            </w:r>
          </w:p>
        </w:tc>
        <w:tc>
          <w:tcPr>
            <w:tcW w:type="dxa" w:w="8568"/>
            <w:tcMar>
              <w:top w:w="70" w:type="dxa"/>
              <w:start w:w="100" w:type="dxa"/>
              <w:bottom w:w="70" w:type="dxa"/>
              <w:end w:w="100" w:type="dxa"/>
            </w:tcMar>
            <w:vAlign w:val="center"/>
          </w:tcPr>
          <w:p>
            <w:pPr>
              <w:spacing w:after="0"/>
            </w:pPr>
            <w:r>
              <w:t>Maya Chen (HubSpot BD Manager); Simone Patel (HubSpot Partner Development Manager); Lauren Finley (Finley Growth Capital Operating Partner); Marcus Reed (Portfolio Technology Advisor); Erin Cole (Operating Principal)</w:t>
            </w:r>
          </w:p>
        </w:tc>
      </w:tr>
      <w:tr>
        <w:tc>
          <w:tcPr>
            <w:tcW w:type="dxa" w:w="2232"/>
            <w:shd w:fill="EEF6F0"/>
            <w:tcMar>
              <w:top w:w="70" w:type="dxa"/>
              <w:start w:w="100" w:type="dxa"/>
              <w:bottom w:w="70" w:type="dxa"/>
              <w:end w:w="100" w:type="dxa"/>
            </w:tcMar>
            <w:vAlign w:val="center"/>
          </w:tcPr>
          <w:p>
            <w:pPr>
              <w:spacing w:after="0"/>
            </w:pPr>
            <w:r>
              <w:rPr>
                <w:b/>
                <w:color w:val="1F7A3F"/>
              </w:rPr>
              <w:t>Purpose</w:t>
            </w:r>
          </w:p>
        </w:tc>
        <w:tc>
          <w:tcPr>
            <w:tcW w:type="dxa" w:w="8568"/>
            <w:tcMar>
              <w:top w:w="70" w:type="dxa"/>
              <w:start w:w="100" w:type="dxa"/>
              <w:bottom w:w="70" w:type="dxa"/>
              <w:end w:w="100" w:type="dxa"/>
            </w:tcMar>
            <w:vAlign w:val="center"/>
          </w:tcPr>
          <w:p>
            <w:pPr>
              <w:spacing w:after="0"/>
            </w:pPr>
            <w:r>
              <w:t>Assess a repeatable CRM modernization offer for a private-equity portfolio of B2B service companies.</w:t>
            </w:r>
          </w:p>
        </w:tc>
      </w:tr>
    </w:tbl>
    <w:p>
      <w:pPr>
        <w:pStyle w:val="Heading1"/>
      </w:pPr>
      <w:r>
        <w:t>Discussion Notes</w:t>
      </w:r>
    </w:p>
    <w:p>
      <w:pPr>
        <w:spacing w:after="140"/>
      </w:pPr>
      <w:r>
        <w:t>Finley Growth Capital is a fictional private-equity firm with 11 B2B service companies. Lauren said the portfolio uses a mix of spreadsheets, legacy CRMs, and Microsoft Dynamics. The operating team wants a common approach to pipeline definitions, account expansion, and board reporting, but it does not want to force every company onto the same technology regardless of maturity.</w:t>
      </w:r>
    </w:p>
    <w:p>
      <w:pPr>
        <w:spacing w:after="140"/>
      </w:pPr>
      <w:r>
        <w:t>Marcus favors Microsoft for companies already standardized on Azure and Microsoft 365. He cited the growing use of embedded Copilot and sales-agent capabilities as a reason to avoid introducing another platform. Erin countered that several smaller portfolio companies need faster adoption, simpler administration, and a clearer path from marketing to service. She proposed a decision framework rather than a blanket platform mandate.</w:t>
      </w:r>
    </w:p>
    <w:p>
      <w:pPr>
        <w:spacing w:after="140"/>
      </w:pPr>
      <w:r>
        <w:t>The group discussed piloting with two companies: one 70-person IT services firm and one 140-person compliance consultancy. Success would be measured by time to usable pipeline reporting, seller adoption, data cleanup effort, and the quality of management follow-up. Lauren also asked for a transparent exit path so portfolio companies can export data and avoid unnecessary lock-in. No portfolio-wide commercial commitment was made.</w:t>
      </w:r>
    </w:p>
    <w:p>
      <w:pPr>
        <w:pStyle w:val="Heading1"/>
      </w:pPr>
      <w:r>
        <w:t>Where the Meeting Was Left</w:t>
      </w:r>
    </w:p>
    <w:p>
      <w:pPr>
        <w:pStyle w:val="ListBullet"/>
        <w:spacing w:after="60"/>
      </w:pPr>
      <w:r>
        <w:t>Lauren will select two pilot companies and confirm executive sponsors.</w:t>
      </w:r>
    </w:p>
    <w:p>
      <w:pPr>
        <w:pStyle w:val="ListBullet"/>
        <w:spacing w:after="60"/>
      </w:pPr>
      <w:r>
        <w:t>Marcus will define architecture and data-portability questions for the evaluation.</w:t>
      </w:r>
    </w:p>
    <w:p>
      <w:pPr>
        <w:pStyle w:val="ListBullet"/>
        <w:spacing w:after="60"/>
      </w:pPr>
      <w:r>
        <w:t>Maya will draft a platform-neutral decision scorecard with measurable pilot criteria.</w:t>
      </w:r>
    </w:p>
    <w:p>
      <w:pPr>
        <w:pStyle w:val="ListBullet"/>
        <w:spacing w:after="60"/>
      </w:pPr>
      <w:r>
        <w:t>Simone will identify an implementation partner capable of supporting two simultaneous pilots.</w:t>
      </w:r>
    </w:p>
    <w:tbl>
      <w:tblPr>
        <w:tblW w:type="auto" w:w="0"/>
        <w:jc w:val="center"/>
        <w:tblLook w:firstColumn="1" w:firstRow="1" w:lastColumn="0" w:lastRow="0" w:noHBand="0" w:noVBand="1" w:val="04A0"/>
      </w:tblPr>
      <w:tblGrid>
        <w:gridCol w:w="10166"/>
      </w:tblGrid>
      <w:tr>
        <w:tc>
          <w:tcPr>
            <w:tcW w:type="dxa" w:w="10166"/>
            <w:shd w:fill="EEF6F0"/>
            <w:tcMar>
              <w:top w:w="130" w:type="dxa"/>
              <w:start w:w="170" w:type="dxa"/>
              <w:bottom w:w="130" w:type="dxa"/>
              <w:end w:w="170" w:type="dxa"/>
            </w:tcMar>
          </w:tcPr>
          <w:p>
            <w:pPr>
              <w:spacing w:after="80"/>
            </w:pPr>
            <w:r>
              <w:rPr>
                <w:b/>
                <w:color w:val="1F7A3F"/>
              </w:rPr>
              <w:t>Confidentiality and realism note</w:t>
            </w:r>
          </w:p>
          <w:p>
            <w:pPr>
              <w:spacing w:after="0"/>
            </w:pPr>
            <w:r>
              <w:t>HubSpot is the only real company named as the focal organization. Every prospect, partner, association, person, commercial detail, and conversation is fictional and created for classroom use. The notes contain no internal HubSpot information and should not be represented as an actual HubSpot meeting record.</w:t>
            </w:r>
          </w:p>
        </w:tc>
      </w:tr>
    </w:tbl>
    <w:p>
      <w:pPr>
        <w:pStyle w:val="SmallNote"/>
        <w:spacing w:before="100"/>
      </w:pPr>
      <w:r>
        <w:t>Suggested use: upload this file to Claude Cowork as Input 1. Do not add market research to this document; gather Input 2 through a new live web search.</w:t>
      </w:r>
    </w:p>
    <w:sectPr w:rsidR="00FC693F" w:rsidRPr="0006063C" w:rsidSect="00034616">
      <w:headerReference w:type="default" r:id="rId9"/>
      <w:footerReference w:type="default" r:id="rId10"/>
      <w:pgSz w:w="12240" w:h="15840"/>
      <w:pgMar w:top="936"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0"/>
        <w:sz w:val="15"/>
      </w:rPr>
      <w:t>Educational simulation - only HubSpot is real; all other names and details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F7A3F"/>
        <w:sz w:val="16"/>
      </w:rPr>
      <w:t>BUSINESS DEVELOPMENT MEMO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F7A3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4334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F7A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F7A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5B6570"/>
      <w:sz w:val="17"/>
    </w:rPr>
  </w:style>
  <w:style w:type="paragraph" w:customStyle="1" w:styleId="PromptBox">
    <w:name w:val="Prompt Box"/>
    <w:pPr>
      <w:spacing w:after="0" w:line="240" w:lineRule="auto"/>
    </w:pPr>
    <w:rPr>
      <w:rFonts w:ascii="Liberation Mono" w:hAnsi="Liberation Mono"/>
      <w:color w:val="243342"/>
      <w:sz w:val="17"/>
    </w:rPr>
  </w:style>
  <w:style w:type="paragraph" w:customStyle="1" w:styleId="Checklist">
    <w:name w:val="Checklist"/>
    <w:pPr>
      <w:spacing w:after="60"/>
      <w:ind w:left="317" w:hanging="317"/>
    </w:pPr>
    <w:rPr>
      <w:rFonts w:ascii="Liberation Sans" w:hAnsi="Liberation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Finley Growth Capital - Portfolio CRM Standardization Discussion</dc:title>
  <dc:subject>Business development meeting memo assignment materials</dc:subject>
  <dc:creator>OpenAI</dc:creator>
  <cp:keywords>HubSpot, business development, Claude Cowork, Claude Code, GRASP</cp:keywords>
  <dc:description>generated by python-docx</dc:description>
  <cp:lastModifiedBy/>
  <cp:revision>1</cp:revision>
  <dcterms:created xsi:type="dcterms:W3CDTF">2013-12-23T23:15:00Z</dcterms:created>
  <dcterms:modified xsi:type="dcterms:W3CDTF">2013-12-23T23:15:00Z</dcterms:modified>
  <cp:category/>
</cp:coreProperties>
</file>