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BD Meeting Memo — Northstar Advisory Group: CRM Consolidation Discovery</w:t>
      </w:r>
    </w:p>
    <w:p>
      <w:r>
        <w:rPr>
          <w:b/>
        </w:rPr>
        <w:t xml:space="preserve">Meeting date: </w:t>
      </w:r>
      <w:r>
        <w:t>July 14, 2026</w:t>
      </w:r>
    </w:p>
    <w:p>
      <w:r>
        <w:rPr>
          <w:b/>
        </w:rPr>
        <w:t xml:space="preserve">Memo generated: </w:t>
      </w:r>
      <w:r>
        <w:t>2026-07-28</w:t>
      </w:r>
    </w:p>
    <w:p>
      <w:r>
        <w:rPr>
          <w:b/>
        </w:rPr>
        <w:t xml:space="preserve">Meeting file: </w:t>
      </w:r>
      <w:r>
        <w:t>01_Northstar_Advisory_Discovery.docx</w:t>
      </w:r>
    </w:p>
    <w:p>
      <w:r>
        <w:rPr>
          <w:b/>
        </w:rPr>
        <w:t xml:space="preserve">Research evidence file: </w:t>
      </w:r>
      <w:r>
        <w:t>01_research_evidence.md</w:t>
      </w:r>
    </w:p>
    <w:p>
      <w:r>
        <w:rPr>
          <w:b/>
        </w:rPr>
        <w:t xml:space="preserve">Status: </w:t>
      </w:r>
      <w:r>
        <w:t>Complete</w:t>
      </w:r>
    </w:p>
    <w:p>
      <w:pPr>
        <w:pStyle w:val="Heading1"/>
      </w:pPr>
      <w:r>
        <w:t>1. Meeting Summary (Fact)</w:t>
      </w:r>
    </w:p>
    <w:p>
      <w:r>
        <w:t>Northstar Advisory Group, a 120-person management consulting firm with four practice areas, met with HubSpot (Maya Chen, BD Manager; Eli Turner, Solutions Engineer) on July 14, 2026 for a prospect discovery call. Northstar's Dana Ruiz (COO), Priya Nair (VP of Growth), and Sam Bell (Revenue Operations Manager) attended. The firm currently runs Pipedrive (BD), Mailchimp (newsletters), and Zendesk (support) as disconnected systems; Sam estimates ~14 staff hours/week go into reconciling pipeline and campaign reporting because account names and lifecycle stages don't match across tools. The group tentatively favored a phased pilot in the healthcare practice over a company-wide rollout. No commercial commitment was made.</w:t>
      </w:r>
    </w:p>
    <w:p>
      <w:pPr>
        <w:pStyle w:val="Heading1"/>
      </w:pPr>
      <w:r>
        <w:t>2. Key Issues Raised</w:t>
      </w:r>
    </w:p>
    <w:p>
      <w:pPr>
        <w:pStyle w:val="ListBullet"/>
      </w:pPr>
      <w:r>
        <w:rPr>
          <w:b/>
        </w:rPr>
        <w:t xml:space="preserve">Board member's Agentforce question (Priya): </w:t>
      </w:r>
      <w:r>
        <w:t>a board member saw a Salesforce Agentforce demo and asked why Northstar isn't using an AI agent for prospecting.</w:t>
      </w:r>
    </w:p>
    <w:p>
      <w:pPr>
        <w:pStyle w:val="ListBullet"/>
      </w:pPr>
      <w:r>
        <w:rPr>
          <w:b/>
        </w:rPr>
        <w:t xml:space="preserve">Dana's sequencing concern: </w:t>
      </w:r>
      <w:r>
        <w:t>reluctant to buy “an expensive add-on before the underlying data is cleaned.”</w:t>
      </w:r>
    </w:p>
    <w:p>
      <w:pPr>
        <w:pStyle w:val="ListBullet"/>
      </w:pPr>
      <w:r>
        <w:rPr>
          <w:b/>
        </w:rPr>
        <w:t xml:space="preserve">Dana's migration-risk concern: </w:t>
      </w:r>
      <w:r>
        <w:t>the firm cannot interrupt active pursuits or force consultants to relearn every process at once.</w:t>
      </w:r>
    </w:p>
    <w:p>
      <w:pPr>
        <w:pStyle w:val="ListBullet"/>
      </w:pPr>
      <w:r>
        <w:rPr>
          <w:b/>
        </w:rPr>
        <w:t xml:space="preserve">Priya's visibility gap: </w:t>
      </w:r>
      <w:r>
        <w:t>wants a single view of referral sources, proposal activity, and client-expansion opportunities.</w:t>
      </w:r>
    </w:p>
    <w:p>
      <w:pPr>
        <w:pStyle w:val="Heading1"/>
      </w:pPr>
      <w:r>
        <w:t>3. Market &amp; Competitive Evidence (Fact, cited)</w:t>
      </w:r>
    </w:p>
    <w:p>
      <w:pPr>
        <w:pStyle w:val="Heading2"/>
      </w:pPr>
      <w:r>
        <w:t>Agentforce Sales: The 24/7 Digital Workforce that Ends the Sales Grind</w:t>
      </w:r>
    </w:p>
    <w:p>
      <w:pPr>
        <w:pStyle w:val="ListBullet"/>
      </w:pPr>
      <w:r>
        <w:rPr>
          <w:b/>
        </w:rPr>
        <w:t xml:space="preserve">Publisher: </w:t>
      </w:r>
      <w:r>
        <w:t>Salesforce</w:t>
      </w:r>
    </w:p>
    <w:p>
      <w:pPr>
        <w:pStyle w:val="ListBullet"/>
      </w:pPr>
      <w:r>
        <w:rPr>
          <w:b/>
        </w:rPr>
        <w:t xml:space="preserve">Date: </w:t>
      </w:r>
      <w:r>
        <w:t>2026 (Spring '26 release cycle; exact day not stated on page)</w:t>
      </w:r>
    </w:p>
    <w:p>
      <w:pPr>
        <w:pStyle w:val="ListBullet"/>
      </w:pPr>
      <w:r>
        <w:rPr>
          <w:b/>
        </w:rPr>
        <w:t xml:space="preserve">URL: </w:t>
      </w:r>
      <w:r>
        <w:t>https://www.salesforce.com/news/stories/agentforce-sales-announcement/</w:t>
      </w:r>
    </w:p>
    <w:p>
      <w:pPr>
        <w:pStyle w:val="ListBullet"/>
      </w:pPr>
      <w:r>
        <w:rPr>
          <w:b/>
        </w:rPr>
        <w:t xml:space="preserve">Connects to: </w:t>
      </w:r>
      <w:r>
        <w:t>Board member's Agentforce demo question</w:t>
      </w:r>
    </w:p>
    <w:p>
      <w:pPr>
        <w:pStyle w:val="ListBullet"/>
      </w:pPr>
      <w:r>
        <w:rPr>
          <w:b/>
        </w:rPr>
        <w:t xml:space="preserve">Finding (Fact): </w:t>
      </w:r>
      <w:r>
        <w:t>Agentforce's Prospecting Agent builds a daily, prioritized queue of target accounts and contacts, gives a “why now” rationale for each, and drafts personalized outreach continuously rather than only when a rep initiates it.</w:t>
      </w:r>
    </w:p>
    <w:p>
      <w:pPr>
        <w:pStyle w:val="ListBullet"/>
      </w:pPr>
      <w:r>
        <w:rPr>
          <w:b/>
        </w:rPr>
        <w:t xml:space="preserve">Human review flag: </w:t>
      </w:r>
      <w:r>
        <w:t>Major competitive claim</w:t>
      </w:r>
    </w:p>
    <w:p>
      <w:pPr>
        <w:ind w:left="360"/>
      </w:pPr>
      <w:r>
        <w:rPr>
          <w:i/>
          <w:color w:val="993300"/>
        </w:rPr>
        <w:t>⚠ Human review required before this claim is shared externally or acted on. Note: first-party vendor marketing — treat performance claims as promotional, not independently verified.</w:t>
      </w:r>
    </w:p>
    <w:p>
      <w:pPr>
        <w:pStyle w:val="Heading2"/>
      </w:pPr>
      <w:r>
        <w:t>HubSpot vs Salesforce: Which CRM Is More AI-Agent Ready in 2026?</w:t>
      </w:r>
    </w:p>
    <w:p>
      <w:pPr>
        <w:pStyle w:val="ListBullet"/>
      </w:pPr>
      <w:r>
        <w:rPr>
          <w:b/>
        </w:rPr>
        <w:t xml:space="preserve">Publisher: </w:t>
      </w:r>
      <w:r>
        <w:t>Vantage Point</w:t>
      </w:r>
    </w:p>
    <w:p>
      <w:pPr>
        <w:pStyle w:val="ListBullet"/>
      </w:pPr>
      <w:r>
        <w:rPr>
          <w:b/>
        </w:rPr>
        <w:t xml:space="preserve">Date: </w:t>
      </w:r>
      <w:r>
        <w:t>2026</w:t>
      </w:r>
    </w:p>
    <w:p>
      <w:pPr>
        <w:pStyle w:val="ListBullet"/>
      </w:pPr>
      <w:r>
        <w:rPr>
          <w:b/>
        </w:rPr>
        <w:t xml:space="preserve">URL: </w:t>
      </w:r>
      <w:r>
        <w:t>https://vantagepoint.io/blog/sf/hubspot-vs-salesforce-ai-agent-ready-2026-comparison</w:t>
      </w:r>
    </w:p>
    <w:p>
      <w:pPr>
        <w:pStyle w:val="ListBullet"/>
      </w:pPr>
      <w:r>
        <w:rPr>
          <w:b/>
        </w:rPr>
        <w:t xml:space="preserve">Connects to: </w:t>
      </w:r>
      <w:r>
        <w:t>Dana's expensive-add-on concern and the implicit fit question for a 120-person, four-practice firm</w:t>
      </w:r>
    </w:p>
    <w:p>
      <w:pPr>
        <w:pStyle w:val="ListBullet"/>
      </w:pPr>
      <w:r>
        <w:rPr>
          <w:b/>
        </w:rPr>
        <w:t xml:space="preserve">Finding (Fact): </w:t>
      </w:r>
      <w:r>
        <w:t>HubSpot Breeze agents are positioned as low-setup and embedded, aimed at faster time-to-value for SMB/mid-market teams; Salesforce Agentforce is positioned as requiring Data Cloud configuration, dedicated admin support, and higher license spend, better suited to complex enterprise workflows.</w:t>
      </w:r>
    </w:p>
    <w:p>
      <w:pPr>
        <w:pStyle w:val="ListBullet"/>
      </w:pPr>
      <w:r>
        <w:rPr>
          <w:b/>
        </w:rPr>
        <w:t xml:space="preserve">Human review flag: </w:t>
      </w:r>
      <w:r>
        <w:t>Major competitive claim</w:t>
      </w:r>
    </w:p>
    <w:p>
      <w:pPr>
        <w:ind w:left="360"/>
      </w:pPr>
      <w:r>
        <w:rPr>
          <w:i/>
          <w:color w:val="993300"/>
        </w:rPr>
        <w:t>⚠ Human review required before this claim is shared externally or acted on. Note: third-party CRM-consulting site with a plausible commercial interest in one platform or implementation services — directional, not definitive.</w:t>
      </w:r>
    </w:p>
    <w:p>
      <w:pPr>
        <w:pStyle w:val="Heading2"/>
      </w:pPr>
      <w:r>
        <w:t>Transfer data from other apps using HubSpot Smart Transfer</w:t>
      </w:r>
    </w:p>
    <w:p>
      <w:pPr>
        <w:pStyle w:val="ListBullet"/>
      </w:pPr>
      <w:r>
        <w:rPr>
          <w:b/>
        </w:rPr>
        <w:t xml:space="preserve">Publisher: </w:t>
      </w:r>
      <w:r>
        <w:t>HubSpot</w:t>
      </w:r>
    </w:p>
    <w:p>
      <w:pPr>
        <w:pStyle w:val="ListBullet"/>
      </w:pPr>
      <w:r>
        <w:rPr>
          <w:b/>
        </w:rPr>
        <w:t xml:space="preserve">Date: </w:t>
      </w:r>
      <w:r>
        <w:t>Not dated on page (live knowledge-base article)</w:t>
      </w:r>
    </w:p>
    <w:p>
      <w:pPr>
        <w:pStyle w:val="ListBullet"/>
      </w:pPr>
      <w:r>
        <w:rPr>
          <w:b/>
        </w:rPr>
        <w:t xml:space="preserve">URL: </w:t>
      </w:r>
      <w:r>
        <w:t>https://knowledge.hubspot.com/integrations/transfer-data-from-other-apps-using-hubspot-smart-transfer</w:t>
      </w:r>
    </w:p>
    <w:p>
      <w:pPr>
        <w:pStyle w:val="ListBullet"/>
      </w:pPr>
      <w:r>
        <w:rPr>
          <w:b/>
        </w:rPr>
        <w:t xml:space="preserve">Connects to: </w:t>
      </w:r>
      <w:r>
        <w:t>Dana's migration-risk concern</w:t>
      </w:r>
    </w:p>
    <w:p>
      <w:pPr>
        <w:pStyle w:val="ListBullet"/>
      </w:pPr>
      <w:r>
        <w:rPr>
          <w:b/>
        </w:rPr>
        <w:t xml:space="preserve">Finding (Fact): </w:t>
      </w:r>
      <w:r>
        <w:t>HubSpot's Smart Transfer tool natively supports importing data from Pipedrive, Zendesk, Mailchimp, and other platforms, starting with a guided data audit.</w:t>
      </w:r>
    </w:p>
    <w:p>
      <w:pPr>
        <w:pStyle w:val="ListBullet"/>
      </w:pPr>
      <w:r>
        <w:rPr>
          <w:b/>
        </w:rPr>
        <w:t xml:space="preserve">Human review flag: </w:t>
      </w:r>
      <w:r>
        <w:t>None</w:t>
      </w:r>
    </w:p>
    <w:p>
      <w:pPr>
        <w:pStyle w:val="Heading2"/>
      </w:pPr>
      <w:r>
        <w:t>HubSpot's Customer Agent and Prospecting Agent: Now you pay when the task is complete</w:t>
      </w:r>
    </w:p>
    <w:p>
      <w:pPr>
        <w:pStyle w:val="ListBullet"/>
      </w:pPr>
      <w:r>
        <w:rPr>
          <w:b/>
        </w:rPr>
        <w:t xml:space="preserve">Publisher: </w:t>
      </w:r>
      <w:r>
        <w:t>HubSpot</w:t>
      </w:r>
    </w:p>
    <w:p>
      <w:pPr>
        <w:pStyle w:val="ListBullet"/>
      </w:pPr>
      <w:r>
        <w:rPr>
          <w:b/>
        </w:rPr>
        <w:t xml:space="preserve">Date: </w:t>
      </w:r>
      <w:r>
        <w:t>April 14, 2026</w:t>
      </w:r>
    </w:p>
    <w:p>
      <w:pPr>
        <w:pStyle w:val="ListBullet"/>
      </w:pPr>
      <w:r>
        <w:rPr>
          <w:b/>
        </w:rPr>
        <w:t xml:space="preserve">URL: </w:t>
      </w:r>
      <w:r>
        <w:t>https://www.hubspot.com/company-news/hubspots-customer-agent-and-prospecting-agent-now-you-pay-when-the-task-is-complete</w:t>
      </w:r>
    </w:p>
    <w:p>
      <w:pPr>
        <w:pStyle w:val="ListBullet"/>
      </w:pPr>
      <w:r>
        <w:rPr>
          <w:b/>
        </w:rPr>
        <w:t xml:space="preserve">Connects to: </w:t>
      </w:r>
      <w:r>
        <w:t>Dana's reluctance to buy an expensive add-on before data cleanup</w:t>
      </w:r>
    </w:p>
    <w:p>
      <w:pPr>
        <w:pStyle w:val="ListBullet"/>
      </w:pPr>
      <w:r>
        <w:rPr>
          <w:b/>
        </w:rPr>
        <w:t xml:space="preserve">Finding (Fact): </w:t>
      </w:r>
      <w:r>
        <w:t>As of April 14, 2026, HubSpot moved Breeze Customer Agent and Prospecting Agent to outcome-based pricing — e.g., $1 per lead recommended for outreach — replacing a flat per-enrolled-contact monthly charge; Breeze features are included across all HubSpot plans.</w:t>
      </w:r>
    </w:p>
    <w:p>
      <w:pPr>
        <w:pStyle w:val="ListBullet"/>
      </w:pPr>
      <w:r>
        <w:rPr>
          <w:b/>
        </w:rPr>
        <w:t xml:space="preserve">Human review flag: </w:t>
      </w:r>
      <w:r>
        <w:t>Pricing</w:t>
      </w:r>
    </w:p>
    <w:p>
      <w:pPr>
        <w:ind w:left="360"/>
      </w:pPr>
      <w:r>
        <w:rPr>
          <w:i/>
          <w:color w:val="993300"/>
        </w:rPr>
        <w:t>⚠ Human review required before this claim is shared externally or acted on. Note: confirm this pricing is still current immediately before quoting it — pricing pages change without notice.</w:t>
      </w:r>
    </w:p>
    <w:p>
      <w:pPr>
        <w:pStyle w:val="Heading1"/>
      </w:pPr>
      <w:r>
        <w:t>4. Inferences</w:t>
      </w:r>
    </w:p>
    <w:p>
      <w:pPr>
        <w:pStyle w:val="ListBullet"/>
      </w:pPr>
      <w:r>
        <w:t>HubSpot's native Smart Transfer coverage of Pipedrive, Zendesk, and Mailchimp suggests Dana's migration-risk concern is substantially addressable for Northstar's actual stack, which could let Eli's July 24 workshop focus on sequencing and rollback planning rather than basic feasibility — this is an inference from the source, not a guarantee that migration will be low-effort in practice.</w:t>
      </w:r>
    </w:p>
    <w:p>
      <w:pPr>
        <w:pStyle w:val="ListBullet"/>
      </w:pPr>
      <w:r>
        <w:t>The move to outcome-based Breeze pricing suggests a small-scale AI prospecting trial could be proposed without committing to the full data-cleanup investment up front, which would directly address Dana's sequencing concern — but this is a reframing worth testing with Dana, not a settled resolution, and it doesn't remove the underlying data-quality question.</w:t>
      </w:r>
    </w:p>
    <w:p>
      <w:pPr>
        <w:pStyle w:val="ListBullet"/>
      </w:pPr>
      <w:r>
        <w:t>The Vantage Point comparison suggests HubSpot's AI approach may fit Northstar's scale and complexity better than Salesforce's — this should inform, not settle, the board conversation, since the source has a plausible commercial interest in the comparison it's drawing.</w:t>
      </w:r>
    </w:p>
    <w:p>
      <w:pPr>
        <w:pStyle w:val="Heading1"/>
      </w:pPr>
      <w:r>
        <w:t>5. Recommended Follow-Ups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80"/>
            <w:shd w:val="clear" w:fill="D9D9D9"/>
          </w:tcPr>
          <w:p>
            <w:r/>
            <w:r>
              <w:rPr>
                <w:b/>
              </w:rPr>
              <w:t>Action</w:t>
            </w:r>
          </w:p>
        </w:tc>
        <w:tc>
          <w:tcPr>
            <w:tcW w:type="dxa" w:w="1008"/>
            <w:shd w:val="clear" w:fill="D9D9D9"/>
          </w:tcPr>
          <w:p>
            <w:r/>
            <w:r>
              <w:rPr>
                <w:b/>
              </w:rPr>
              <w:t>Owner</w:t>
            </w:r>
          </w:p>
        </w:tc>
        <w:tc>
          <w:tcPr>
            <w:tcW w:type="dxa" w:w="1296"/>
            <w:shd w:val="clear" w:fill="D9D9D9"/>
          </w:tcPr>
          <w:p>
            <w:r/>
            <w:r>
              <w:rPr>
                <w:b/>
              </w:rPr>
              <w:t>Timeline</w:t>
            </w:r>
          </w:p>
        </w:tc>
        <w:tc>
          <w:tcPr>
            <w:tcW w:type="dxa" w:w="3744"/>
            <w:shd w:val="clear" w:fill="D9D9D9"/>
          </w:tcPr>
          <w:p>
            <w:r/>
            <w:r>
              <w:rPr>
                <w:b/>
              </w:rPr>
              <w:t>Rationale</w:t>
            </w:r>
          </w:p>
        </w:tc>
        <w:tc>
          <w:tcPr>
            <w:tcW w:type="dxa" w:w="1872"/>
            <w:shd w:val="clear" w:fill="D9D9D9"/>
          </w:tcPr>
          <w:p>
            <w:r/>
            <w:r>
              <w:rPr>
                <w:b/>
              </w:rPr>
              <w:t>Confidence</w:t>
            </w:r>
          </w:p>
        </w:tc>
      </w:tr>
      <w:tr>
        <w:tc>
          <w:tcPr>
            <w:tcW w:type="dxa" w:w="2880"/>
          </w:tcPr>
          <w:p>
            <w:r/>
            <w:r>
              <w:t>Send a non-binding pilot outline and sample CRM data model</w:t>
            </w:r>
          </w:p>
        </w:tc>
        <w:tc>
          <w:tcPr>
            <w:tcW w:type="dxa" w:w="1008"/>
          </w:tcPr>
          <w:p>
            <w:r/>
            <w:r>
              <w:t>Maya</w:t>
            </w:r>
          </w:p>
        </w:tc>
        <w:tc>
          <w:tcPr>
            <w:tcW w:type="dxa" w:w="1296"/>
          </w:tcPr>
          <w:p>
            <w:r/>
            <w:r>
              <w:t>July 18, 2026</w:t>
            </w:r>
          </w:p>
        </w:tc>
        <w:tc>
          <w:tcPr>
            <w:tcW w:type="dxa" w:w="3744"/>
          </w:tcPr>
          <w:p>
            <w:r/>
            <w:r>
              <w:t>Gives Northstar something concrete to react to for a healthcare-practice pilot, as agreed in the meeting</w:t>
            </w:r>
          </w:p>
        </w:tc>
        <w:tc>
          <w:tcPr>
            <w:tcW w:type="dxa" w:w="1872"/>
          </w:tcPr>
          <w:p>
            <w:r/>
            <w:r>
              <w:t>Firm commitment</w:t>
            </w:r>
          </w:p>
        </w:tc>
      </w:tr>
      <w:tr>
        <w:tc>
          <w:tcPr>
            <w:tcW w:type="dxa" w:w="2880"/>
          </w:tcPr>
          <w:p>
            <w:r/>
            <w:r>
              <w:t>Share a non-confidential field list and current lifecycle-stage definitions</w:t>
            </w:r>
          </w:p>
        </w:tc>
        <w:tc>
          <w:tcPr>
            <w:tcW w:type="dxa" w:w="1008"/>
          </w:tcPr>
          <w:p>
            <w:r/>
            <w:r>
              <w:t>Sam</w:t>
            </w:r>
          </w:p>
        </w:tc>
        <w:tc>
          <w:tcPr>
            <w:tcW w:type="dxa" w:w="1296"/>
          </w:tcPr>
          <w:p>
            <w:r/>
            <w:r>
              <w:t>July 21, 2026</w:t>
            </w:r>
          </w:p>
        </w:tc>
        <w:tc>
          <w:tcPr>
            <w:tcW w:type="dxa" w:w="3744"/>
          </w:tcPr>
          <w:p>
            <w:r/>
            <w:r>
              <w:t>Feeds the sample data model and the migration-risk workshop</w:t>
            </w:r>
          </w:p>
        </w:tc>
        <w:tc>
          <w:tcPr>
            <w:tcW w:type="dxa" w:w="1872"/>
          </w:tcPr>
          <w:p>
            <w:r/>
            <w:r>
              <w:t>Firm commitment</w:t>
            </w:r>
          </w:p>
        </w:tc>
      </w:tr>
      <w:tr>
        <w:tc>
          <w:tcPr>
            <w:tcW w:type="dxa" w:w="2880"/>
          </w:tcPr>
          <w:p>
            <w:r/>
            <w:r>
              <w:t>Prepare a migration-risk workshop</w:t>
            </w:r>
          </w:p>
        </w:tc>
        <w:tc>
          <w:tcPr>
            <w:tcW w:type="dxa" w:w="1008"/>
          </w:tcPr>
          <w:p>
            <w:r/>
            <w:r>
              <w:t>Eli</w:t>
            </w:r>
          </w:p>
        </w:tc>
        <w:tc>
          <w:tcPr>
            <w:tcW w:type="dxa" w:w="1296"/>
          </w:tcPr>
          <w:p>
            <w:r/>
            <w:r>
              <w:t>July 24, 2026</w:t>
            </w:r>
          </w:p>
        </w:tc>
        <w:tc>
          <w:tcPr>
            <w:tcW w:type="dxa" w:w="3744"/>
          </w:tcPr>
          <w:p>
            <w:r/>
            <w:r>
              <w:t>Directly addresses Dana's migration-risk concern; can now reference the Smart Transfer findings above</w:t>
            </w:r>
          </w:p>
        </w:tc>
        <w:tc>
          <w:tcPr>
            <w:tcW w:type="dxa" w:w="1872"/>
          </w:tcPr>
          <w:p>
            <w:r/>
            <w:r>
              <w:t>Firm commitment</w:t>
            </w:r>
          </w:p>
        </w:tc>
      </w:tr>
      <w:tr>
        <w:tc>
          <w:tcPr>
            <w:tcW w:type="dxa" w:w="2880"/>
          </w:tcPr>
          <w:p>
            <w:r/>
            <w:r>
              <w:t>Confirm which specific Agentforce capabilities the board member referenced</w:t>
            </w:r>
          </w:p>
        </w:tc>
        <w:tc>
          <w:tcPr>
            <w:tcW w:type="dxa" w:w="1008"/>
          </w:tcPr>
          <w:p>
            <w:r/>
            <w:r>
              <w:t>Priya</w:t>
            </w:r>
          </w:p>
        </w:tc>
        <w:tc>
          <w:tcPr>
            <w:tcW w:type="dxa" w:w="1296"/>
          </w:tcPr>
          <w:p>
            <w:r/>
            <w:r>
              <w:rPr>
                <w:b/>
                <w:color w:val="B00000"/>
              </w:rPr>
              <w:t>TBD</w:t>
            </w:r>
          </w:p>
        </w:tc>
        <w:tc>
          <w:tcPr>
            <w:tcW w:type="dxa" w:w="3744"/>
          </w:tcPr>
          <w:p>
            <w:r/>
            <w:r>
              <w:t>Needed to make the Agentforce-vs-Breeze comparison specific rather than generic before it goes back to the board</w:t>
            </w:r>
          </w:p>
        </w:tc>
        <w:tc>
          <w:tcPr>
            <w:tcW w:type="dxa" w:w="1872"/>
          </w:tcPr>
          <w:p>
            <w:r/>
            <w:r>
              <w:t>Tentative — Priya agreed to do this, but no date was set in the meeting</w:t>
            </w:r>
          </w:p>
        </w:tc>
      </w:tr>
      <w:tr>
        <w:tc>
          <w:tcPr>
            <w:tcW w:type="dxa" w:w="2880"/>
          </w:tcPr>
          <w:p>
            <w:r/>
            <w:r>
              <w:t>Decide whether to propose a small-scale, outcome-priced AI trial ahead of full data cleanup</w:t>
            </w:r>
          </w:p>
        </w:tc>
        <w:tc>
          <w:tcPr>
            <w:tcW w:type="dxa" w:w="1008"/>
          </w:tcPr>
          <w:p>
            <w:r/>
            <w:r>
              <w:rPr>
                <w:b/>
                <w:color w:val="B00000"/>
              </w:rPr>
              <w:t>TBD</w:t>
            </w:r>
          </w:p>
        </w:tc>
        <w:tc>
          <w:tcPr>
            <w:tcW w:type="dxa" w:w="1296"/>
          </w:tcPr>
          <w:p>
            <w:r/>
            <w:r>
              <w:rPr>
                <w:b/>
                <w:color w:val="B00000"/>
              </w:rPr>
              <w:t>TBD</w:t>
            </w:r>
          </w:p>
        </w:tc>
        <w:tc>
          <w:tcPr>
            <w:tcW w:type="dxa" w:w="3744"/>
          </w:tcPr>
          <w:p>
            <w:r/>
            <w:r>
              <w:t>Raised here as a possible reframing of Dana's sequencing concern (see Inferences), but this was not discussed or assigned in the meeting itself</w:t>
            </w:r>
          </w:p>
        </w:tc>
        <w:tc>
          <w:tcPr>
            <w:tcW w:type="dxa" w:w="1872"/>
          </w:tcPr>
          <w:p>
            <w:r/>
            <w:r>
              <w:t>No commitment made — this is a memo-author suggestion, not a meeting outcome</w:t>
            </w:r>
          </w:p>
        </w:tc>
      </w:tr>
    </w:tbl>
    <w:p>
      <w:pPr>
        <w:pStyle w:val="Heading1"/>
      </w:pPr>
      <w:r>
        <w:t>6. Human Review Required</w:t>
      </w:r>
    </w:p>
    <w:p>
      <w:pPr>
        <w:pStyle w:val="ListBullet"/>
      </w:pPr>
      <w:r>
        <w:t>Assign an owner for: “Decide whether to propose a small-scale, outcome-priced AI trial ahead of full data cleanup” (currently TBD)</w:t>
      </w:r>
    </w:p>
    <w:p>
      <w:pPr>
        <w:pStyle w:val="ListBullet"/>
      </w:pPr>
      <w:r>
        <w:t>Confirm a timeline for: “Confirm which specific Agentforce capabilities the board member referenced” (currently TBD)</w:t>
      </w:r>
    </w:p>
    <w:p>
      <w:pPr>
        <w:pStyle w:val="ListBullet"/>
      </w:pPr>
      <w:r>
        <w:t>Confirm a timeline for: “Decide whether to propose a small-scale, outcome-priced AI trial ahead of full data cleanup” (currently TBD)</w:t>
      </w:r>
    </w:p>
    <w:p>
      <w:pPr>
        <w:pStyle w:val="ListBullet"/>
      </w:pPr>
      <w:r>
        <w:t>Verify before quoting externally — major competitive claim: Agentforce Prospecting Agent capabilities (Salesforce, salesforce.com/news/stories/agentforce-sales-announcement)</w:t>
      </w:r>
    </w:p>
    <w:p>
      <w:pPr>
        <w:pStyle w:val="ListBullet"/>
      </w:pPr>
      <w:r>
        <w:t>Verify before quoting externally — major competitive claim: HubSpot vs. Salesforce AI-agent readiness comparison (Vantage Point, vantagepoint.io)</w:t>
      </w:r>
    </w:p>
    <w:p>
      <w:pPr>
        <w:pStyle w:val="ListBullet"/>
      </w:pPr>
      <w:r>
        <w:t>Verify before quoting externally — pricing claim: Breeze outcome-based pricing, $1/lead recommended (HubSpot, effective April 14, 2026 — confirm still current)</w:t>
      </w:r>
    </w:p>
    <w:p>
      <w:pPr>
        <w:pStyle w:val="Heading1"/>
      </w:pPr>
      <w:r>
        <w:t>7. Excluded Evidence (Audit Note)</w:t>
      </w:r>
    </w:p>
    <w:p>
      <w:r>
        <w:t>None. All 4 candidate sources gathered for this meeting scored 3 on relevance and are included above; no source was excluded.</w:t>
      </w:r>
    </w:p>
    <w:p>
      <w:pPr>
        <w:pStyle w:val="Heading1"/>
      </w:pPr>
      <w:r>
        <w:t>8. Scope Note</w:t>
      </w:r>
    </w:p>
    <w:p>
      <w:pPr>
        <w:pBdr>
          <w:bottom w:val="single" w:sz="6" w:space="1" w:color="999999"/>
        </w:pBdr>
      </w:pPr>
    </w:p>
    <w:p>
      <w:r>
        <w:rPr>
          <w:i/>
        </w:rPr>
        <w:t>This memo is an internal analysis aid for the Northstar Advisory Group CRM consolidation discovery (July 14, 2026). It does not constitute a commitment, contract, legal advice, or CRM update. No message was sent and no CRM record was changed as part of producing this memo. All Human Review Required items must be resolved by an authorized human before any claim in this memo is shared externally or acted upon.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