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24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Diabetes Prediction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Use the paper [1] as a starting point. The authors used the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FF"/>
          <w:sz w:val="24"/>
          <w:u w:val="single"/>
        </w:rPr>
        <w:hyperlink r:id="rId9" w:history="1">
          <w:r>
            <w:rPr>
              <w:rStyle w:val="Hyperlink"/>
            </w:rPr>
            <w:t>PIMA dataset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from Kaggle, which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also contains useful code that could be useful for your thesis. Check whether other diabetes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datasets are cited in the literature. If available, compare the datasets with the Pima dataset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and consider including them in the study.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346" w:after="0"/>
        <w:ind w:left="0" w:right="115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Tasks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>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Literature Review on diabetes prediction (check methods and datasets). </w:t>
      </w:r>
    </w:p>
    <w:p>
      <w:pPr>
        <w:autoSpaceDN w:val="0"/>
        <w:autoSpaceDE w:val="0"/>
        <w:widowControl/>
        <w:spacing w:line="245" w:lineRule="auto" w:before="52" w:after="0"/>
        <w:ind w:left="360" w:right="4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Select methods to investigate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Implement a python pipeline for predicting diabetes similar as in the style of [1]. </w:t>
      </w:r>
    </w:p>
    <w:p>
      <w:pPr>
        <w:autoSpaceDN w:val="0"/>
        <w:autoSpaceDE w:val="0"/>
        <w:widowControl/>
        <w:spacing w:line="245" w:lineRule="auto" w:before="54" w:after="0"/>
        <w:ind w:left="360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Conduct experiments to compare methods and answer research question </w:t>
      </w:r>
      <w:r>
        <w:rPr>
          <w:rFonts w:ascii="Calibri" w:hAnsi="Calibri" w:eastAsia="Calibri"/>
          <w:b w:val="0"/>
          <w:i w:val="0"/>
          <w:color w:val="000000"/>
          <w:sz w:val="24"/>
        </w:rPr>
        <w:t>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Analyze and discuss results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Write up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Methods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(to be discussed together)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The following list suggest some methods that could be investigated. The selection should be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based on critically evaluating the literature. Choose a baseline (1-3) and some promising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approaches or underexplored approaches. </w:t>
      </w:r>
    </w:p>
    <w:p>
      <w:pPr>
        <w:autoSpaceDN w:val="0"/>
        <w:autoSpaceDE w:val="0"/>
        <w:widowControl/>
        <w:spacing w:line="245" w:lineRule="auto" w:before="54" w:after="0"/>
        <w:ind w:left="360" w:right="532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Logistic regression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kNN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Naïve Bayes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SVM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Random Forest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6.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Gradient Boosting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7.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Neural Network (simple MLP) </w:t>
      </w:r>
    </w:p>
    <w:p>
      <w:pPr>
        <w:autoSpaceDN w:val="0"/>
        <w:autoSpaceDE w:val="0"/>
        <w:widowControl/>
        <w:spacing w:line="245" w:lineRule="auto" w:before="346" w:after="0"/>
        <w:ind w:left="360" w:right="1296" w:hanging="36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Possible Research Questions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(to be discussed together)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1.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What is the effect of data augmentation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2.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What is the effect of different technique to cope with imbalanced data </w:t>
      </w:r>
      <w:r>
        <w:rPr>
          <w:rFonts w:ascii="Calibri" w:hAnsi="Calibri" w:eastAsia="Calibri"/>
          <w:b w:val="0"/>
          <w:i w:val="0"/>
          <w:color w:val="000000"/>
          <w:sz w:val="24"/>
        </w:rPr>
        <w:t>3.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What is the effect of data preprocessing dimensionality reduction </w:t>
      </w:r>
      <w:r>
        <w:rPr>
          <w:rFonts w:ascii="Calibri" w:hAnsi="Calibri" w:eastAsia="Calibri"/>
          <w:b w:val="0"/>
          <w:i w:val="0"/>
          <w:color w:val="000000"/>
          <w:sz w:val="24"/>
        </w:rPr>
        <w:t>4.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What is the effect of imputation methods for missing data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5.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How do the selected models perform </w:t>
      </w:r>
    </w:p>
    <w:p>
      <w:pPr>
        <w:autoSpaceDN w:val="0"/>
        <w:autoSpaceDE w:val="0"/>
        <w:widowControl/>
        <w:spacing w:line="245" w:lineRule="auto" w:before="346" w:after="0"/>
        <w:ind w:left="0" w:right="72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References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>[1] Ganie et al. (2023):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An ensemble learning approach for diabetes prediction using</w:t>
          </w:r>
        </w:hyperlink>
      </w:r>
      <w:r>
        <w:rPr>
          <w:rFonts w:ascii="Calibri" w:hAnsi="Calibri" w:eastAsia="Calibri"/>
          <w:b w:val="0"/>
          <w:i w:val="0"/>
          <w:color w:val="0000FF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FF"/>
          <w:sz w:val="24"/>
          <w:u w:val="single"/>
        </w:rPr>
        <w:hyperlink r:id="rId10" w:history="1">
          <w:r>
            <w:rPr>
              <w:rStyle w:val="Hyperlink"/>
            </w:rPr>
            <w:t>boosting techniques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4"/>
        </w:rPr>
        <w:hyperlink r:id="rId10" w:history="1">
          <w:r>
            <w:rPr>
              <w:rStyle w:val="Hyperlink"/>
            </w:rPr>
            <w:t>.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sectPr w:rsidR="00FC693F" w:rsidRPr="0006063C" w:rsidSect="00034616">
      <w:pgSz w:w="11906" w:h="16838"/>
      <w:pgMar w:top="744" w:right="1424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kaggle.com/code/luisrvieira/pima-diabetes-classification-svm-mlp-logreg" TargetMode="External"/><Relationship Id="rId10" Type="http://schemas.openxmlformats.org/officeDocument/2006/relationships/hyperlink" Target="https://www.frontiersin.org/journals/genetics/articles/10.3389/fgene.2023.1252159/fu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