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C6094">
      <w:pPr>
        <w:pStyle w:val="38"/>
        <w:rPr>
          <w:rFonts w:asciiTheme="minorHAnsi" w:hAnsiTheme="minorHAnsi"/>
          <w:sz w:val="44"/>
          <w:szCs w:val="44"/>
        </w:rPr>
      </w:pPr>
      <w:r>
        <w:rPr>
          <w:rFonts w:asciiTheme="minorHAnsi" w:hAnsiTheme="minorHAnsi"/>
          <w:sz w:val="44"/>
          <w:szCs w:val="44"/>
        </w:rPr>
        <w:t>Sandra Ukwade</w:t>
      </w:r>
    </w:p>
    <w:p w14:paraId="0B91DB65">
      <w:pPr>
        <w:spacing w:line="240" w:lineRule="auto"/>
        <w:rPr>
          <w:sz w:val="24"/>
          <w:szCs w:val="24"/>
        </w:rPr>
      </w:pPr>
      <w:r>
        <w:rPr>
          <w:sz w:val="24"/>
          <w:szCs w:val="24"/>
        </w:rPr>
        <w:t>4-19-11 Kishitani, Tsurumi-ku, Yokohama, Japan</w:t>
      </w:r>
    </w:p>
    <w:p w14:paraId="759A6C0F">
      <w:pPr>
        <w:spacing w:line="240" w:lineRule="auto"/>
        <w:rPr>
          <w:sz w:val="24"/>
          <w:szCs w:val="24"/>
        </w:rPr>
      </w:pPr>
      <w:r>
        <w:rPr>
          <w:sz w:val="24"/>
          <w:szCs w:val="24"/>
        </w:rPr>
        <w:t>Phone: +81 70 9487-6171</w:t>
      </w:r>
    </w:p>
    <w:p w14:paraId="40306865">
      <w:pPr>
        <w:spacing w:line="240" w:lineRule="auto"/>
        <w:rPr>
          <w:sz w:val="24"/>
          <w:szCs w:val="24"/>
        </w:rPr>
      </w:pPr>
      <w:r>
        <w:rPr>
          <w:sz w:val="24"/>
          <w:szCs w:val="24"/>
        </w:rPr>
        <w:t>Email: ukwadeese@gmail.com</w:t>
      </w:r>
    </w:p>
    <w:p w14:paraId="1C21C8BB">
      <w:pPr>
        <w:spacing w:line="240" w:lineRule="auto"/>
        <w:rPr>
          <w:sz w:val="24"/>
          <w:szCs w:val="24"/>
        </w:rPr>
      </w:pPr>
      <w:r>
        <w:rPr>
          <w:sz w:val="24"/>
          <w:szCs w:val="24"/>
        </w:rPr>
        <w:t>Date of Birth: August 7, 1994</w:t>
      </w:r>
    </w:p>
    <w:p w14:paraId="571E5FD6">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Professional Summary</w:t>
      </w:r>
    </w:p>
    <w:p w14:paraId="6D2010DD">
      <w:pPr>
        <w:rPr>
          <w:rFonts w:ascii="Cambria" w:hAnsi="Cambria" w:cs="Arial"/>
          <w:color w:val="0B1C2D"/>
          <w:sz w:val="24"/>
          <w:szCs w:val="24"/>
          <w:shd w:val="clear" w:color="auto" w:fill="FFFFFF"/>
        </w:rPr>
      </w:pPr>
      <w:r>
        <w:rPr>
          <w:rFonts w:ascii="Cambria" w:hAnsi="Cambria" w:cs="Arial"/>
          <w:color w:val="0B1C2D"/>
          <w:sz w:val="24"/>
          <w:szCs w:val="24"/>
          <w:shd w:val="clear" w:color="auto" w:fill="FFFFFF"/>
        </w:rPr>
        <w:t>Detail-oriented professional with a foundation in Human Anatomy and recent advanced certifications in Clinical Data Management (CDM) and ICH E6(R3) GCP. Proven ability to design and build clinical databases in REDCap, complemented by extensive experience in data tracking, quality control, and stakeholder management gained in exacting Japanese corporate environments. Seeking to apply strong analytical skills and a deep understanding of data integrity to a Junior Clinical Data Manager role, contributing to the delivery of high-quality clinical trial data compliant with PMDA and global standards.</w:t>
      </w:r>
    </w:p>
    <w:p w14:paraId="5929DD9C">
      <w:pPr>
        <w:rPr>
          <w:rFonts w:eastAsia="Times New Roman" w:cs="Times New Roman"/>
          <w:sz w:val="24"/>
          <w:szCs w:val="24"/>
        </w:rPr>
      </w:pPr>
      <w:r>
        <w:rPr>
          <w:b/>
          <w:bCs/>
          <w:color w:val="000000" w:themeColor="text1"/>
          <w:sz w:val="36"/>
          <w:szCs w:val="36"/>
          <w14:textFill>
            <w14:solidFill>
              <w14:schemeClr w14:val="tx1"/>
            </w14:solidFill>
          </w14:textFill>
        </w:rPr>
        <w:t>Core Competencies</w:t>
      </w:r>
      <w:r>
        <w:rPr>
          <w:rFonts w:eastAsia="Times New Roman" w:cs="Times New Roman"/>
          <w:b/>
          <w:bCs/>
          <w:color w:val="000000" w:themeColor="text1"/>
          <w:sz w:val="36"/>
          <w:szCs w:val="36"/>
          <w14:textFill>
            <w14:solidFill>
              <w14:schemeClr w14:val="tx1"/>
            </w14:solidFill>
          </w14:textFill>
        </w:rPr>
        <w:t xml:space="preserve"> </w:t>
      </w:r>
    </w:p>
    <w:p w14:paraId="36279665">
      <w:pPr>
        <w:pStyle w:val="145"/>
        <w:numPr>
          <w:ilvl w:val="0"/>
          <w:numId w:val="7"/>
        </w:numPr>
        <w:spacing w:after="0" w:line="240" w:lineRule="auto"/>
        <w:rPr>
          <w:rFonts w:ascii="Cambria" w:hAnsi="Cambria" w:eastAsia="Times New Roman" w:cs="Cambria"/>
          <w:sz w:val="24"/>
          <w:szCs w:val="24"/>
        </w:rPr>
      </w:pPr>
      <w:r>
        <w:rPr>
          <w:rStyle w:val="35"/>
          <w:rFonts w:ascii="Cambria" w:hAnsi="Cambria" w:eastAsia="Arial" w:cs="Cambria"/>
          <w:sz w:val="24"/>
          <w:szCs w:val="24"/>
        </w:rPr>
        <w:t>Clinical and Data Skills:</w:t>
      </w:r>
      <w:r>
        <w:rPr>
          <w:rFonts w:ascii="Cambria" w:hAnsi="Cambria" w:eastAsia="SimSun" w:cs="Cambria"/>
          <w:sz w:val="24"/>
          <w:szCs w:val="24"/>
        </w:rPr>
        <w:t xml:space="preserve"> REDCap Database Design, Clinical Data Management (CDM), Good Clinical Practice (ICH-GCP), Electronic CRF (eCRF) design, Data Validation Rule Programming, Data Entry &amp; Verification, Source Data Verification Concept, Regulatory Compliance, Medical Terminology.</w:t>
      </w:r>
    </w:p>
    <w:p w14:paraId="27C169AC">
      <w:pPr>
        <w:pStyle w:val="145"/>
        <w:numPr>
          <w:ilvl w:val="0"/>
          <w:numId w:val="7"/>
        </w:numPr>
        <w:spacing w:after="0" w:line="240" w:lineRule="auto"/>
        <w:rPr>
          <w:rFonts w:ascii="Cambria" w:hAnsi="Cambria" w:eastAsia="Times New Roman" w:cs="Cambria"/>
          <w:sz w:val="24"/>
          <w:szCs w:val="24"/>
        </w:rPr>
      </w:pPr>
      <w:r>
        <w:rPr>
          <w:rFonts w:ascii="Cambria" w:hAnsi="Cambria" w:eastAsia="Times New Roman" w:cs="Cambria"/>
          <w:sz w:val="24"/>
          <w:szCs w:val="24"/>
        </w:rPr>
        <w:t xml:space="preserve"> </w:t>
      </w:r>
      <w:r>
        <w:rPr>
          <w:rFonts w:ascii="Cambria" w:hAnsi="Cambria" w:eastAsia="Times New Roman" w:cs="Cambria"/>
          <w:b/>
          <w:bCs/>
          <w:sz w:val="24"/>
          <w:szCs w:val="24"/>
        </w:rPr>
        <w:t>T</w:t>
      </w:r>
      <w:r>
        <w:rPr>
          <w:rStyle w:val="35"/>
          <w:rFonts w:ascii="Cambria" w:hAnsi="Cambria" w:eastAsia="Arial" w:cs="Cambria"/>
          <w:sz w:val="24"/>
          <w:szCs w:val="24"/>
        </w:rPr>
        <w:t>echnical Tools:</w:t>
      </w:r>
      <w:r>
        <w:rPr>
          <w:rFonts w:ascii="Cambria" w:hAnsi="Cambria" w:eastAsia="SimSun" w:cs="Cambria"/>
          <w:sz w:val="24"/>
          <w:szCs w:val="24"/>
        </w:rPr>
        <w:t xml:space="preserve"> Microsoft Excel (Advanced), Microsoft Word, Google Workspace, Database Architecture.</w:t>
      </w:r>
    </w:p>
    <w:p w14:paraId="41FFC22D">
      <w:pPr>
        <w:pStyle w:val="145"/>
        <w:numPr>
          <w:ilvl w:val="0"/>
          <w:numId w:val="7"/>
        </w:numPr>
        <w:spacing w:after="0" w:line="240" w:lineRule="auto"/>
        <w:rPr>
          <w:rFonts w:ascii="Cambria" w:hAnsi="Cambria" w:eastAsia="Times New Roman" w:cs="Cambria"/>
          <w:sz w:val="24"/>
          <w:szCs w:val="24"/>
        </w:rPr>
      </w:pPr>
      <w:r>
        <w:rPr>
          <w:rFonts w:ascii="Cambria" w:hAnsi="Cambria" w:eastAsia="Times New Roman" w:cs="Cambria"/>
          <w:b/>
          <w:bCs/>
          <w:sz w:val="24"/>
          <w:szCs w:val="24"/>
        </w:rPr>
        <w:t xml:space="preserve"> P</w:t>
      </w:r>
      <w:r>
        <w:rPr>
          <w:rStyle w:val="35"/>
          <w:rFonts w:ascii="Cambria" w:hAnsi="Cambria" w:eastAsia="Arial" w:cs="Cambria"/>
          <w:sz w:val="24"/>
          <w:szCs w:val="24"/>
        </w:rPr>
        <w:t>rofessional Skills:</w:t>
      </w:r>
      <w:r>
        <w:rPr>
          <w:rFonts w:ascii="Cambria" w:hAnsi="Cambria" w:eastAsia="SimSun" w:cs="Cambria"/>
          <w:sz w:val="24"/>
          <w:szCs w:val="24"/>
        </w:rPr>
        <w:t xml:space="preserve"> Stakeholder Management, Documentation Management, Problem Solving, Record Keeping, Cross-Functional Collaboration.</w:t>
      </w:r>
    </w:p>
    <w:p w14:paraId="0BC91842">
      <w:pPr>
        <w:pStyle w:val="145"/>
        <w:spacing w:after="0" w:line="240" w:lineRule="auto"/>
        <w:ind w:left="360"/>
        <w:rPr>
          <w:rFonts w:ascii="Cambria" w:hAnsi="Cambria" w:eastAsia="Times New Roman" w:cs="Cambria"/>
          <w:sz w:val="24"/>
          <w:szCs w:val="24"/>
        </w:rPr>
      </w:pPr>
    </w:p>
    <w:p w14:paraId="3CB462A2">
      <w:pPr>
        <w:pStyle w:val="145"/>
        <w:spacing w:after="0" w:line="240" w:lineRule="auto"/>
        <w:rPr>
          <w:rFonts w:eastAsia="Times New Roman" w:cs="Times New Roman"/>
          <w:sz w:val="24"/>
          <w:szCs w:val="24"/>
        </w:rPr>
      </w:pPr>
    </w:p>
    <w:p w14:paraId="6F38C5B4">
      <w:pPr>
        <w:spacing w:after="0" w:line="240" w:lineRule="auto"/>
        <w:rPr>
          <w:rFonts w:eastAsia="Times New Roman" w:cs="Times New Roman"/>
          <w:b/>
          <w:bCs/>
          <w:sz w:val="36"/>
          <w:szCs w:val="36"/>
        </w:rPr>
      </w:pPr>
      <w:r>
        <w:rPr>
          <w:rFonts w:eastAsia="Times New Roman" w:cs="Times New Roman"/>
          <w:b/>
          <w:bCs/>
          <w:sz w:val="36"/>
          <w:szCs w:val="36"/>
        </w:rPr>
        <w:t xml:space="preserve">Technical projects </w:t>
      </w:r>
    </w:p>
    <w:p w14:paraId="700576F6">
      <w:pPr>
        <w:pStyle w:val="145"/>
        <w:numPr>
          <w:ilvl w:val="0"/>
          <w:numId w:val="8"/>
        </w:numPr>
        <w:spacing w:after="0" w:line="240" w:lineRule="auto"/>
        <w:rPr>
          <w:rFonts w:ascii="Calibri" w:hAnsi="Calibri" w:eastAsia="SimSun" w:cs="Calibri"/>
          <w:sz w:val="24"/>
          <w:szCs w:val="24"/>
          <w:vertAlign w:val="subscript"/>
        </w:rPr>
      </w:pPr>
      <w:r>
        <w:rPr>
          <w:rFonts w:ascii="Cambria" w:hAnsi="Cambria"/>
          <w:sz w:val="24"/>
          <w:szCs w:val="24"/>
        </w:rPr>
        <w:t xml:space="preserve">Utilized REDCap to design eCRFs following </w:t>
      </w:r>
      <w:r>
        <w:rPr>
          <w:rStyle w:val="35"/>
          <w:rFonts w:ascii="Cambria" w:hAnsi="Cambria" w:cs="Arial"/>
          <w:sz w:val="24"/>
          <w:szCs w:val="24"/>
        </w:rPr>
        <w:t>CDASH-aligned structured data fields</w:t>
      </w:r>
      <w:r>
        <w:rPr>
          <w:rFonts w:ascii="Cambria" w:hAnsi="Cambria"/>
          <w:sz w:val="24"/>
          <w:szCs w:val="24"/>
        </w:rPr>
        <w:t xml:space="preserve"> to ensure downstream standardization. Programmed 15+ automated data validation checks, mimicking the query-generation environment of commercial platforms like Medidata Rave</w:t>
      </w:r>
      <w:r>
        <w:t>.</w:t>
      </w:r>
      <w:r>
        <w:rPr>
          <w:rFonts w:ascii="Calibri" w:hAnsi="Calibri" w:eastAsia="SimSun" w:cs="Calibri"/>
          <w:sz w:val="24"/>
          <w:szCs w:val="24"/>
        </w:rPr>
        <w:t xml:space="preserve"> (</w:t>
      </w:r>
      <w:r>
        <w:fldChar w:fldCharType="begin"/>
      </w:r>
      <w:r>
        <w:instrText xml:space="preserve"> HYPERLINK "https://docs.google.com/spreadsheets/d/1mJgo4onunuQi_Ro-SCLhZ-9zHcyYUfOA/edit?usp=drive_link&amp;ouid=115821372650846631592&amp;rtpof=true&amp;sd=true" </w:instrText>
      </w:r>
      <w:r>
        <w:fldChar w:fldCharType="separate"/>
      </w:r>
      <w:r>
        <w:rPr>
          <w:rStyle w:val="20"/>
          <w:rFonts w:ascii="Calibri" w:hAnsi="Calibri" w:eastAsia="SimSun" w:cs="Calibri"/>
          <w:sz w:val="24"/>
          <w:szCs w:val="24"/>
        </w:rPr>
        <w:t>View Project Blueprint</w:t>
      </w:r>
      <w:r>
        <w:rPr>
          <w:rStyle w:val="20"/>
          <w:rFonts w:ascii="Calibri" w:hAnsi="Calibri" w:eastAsia="SimSun" w:cs="Calibri"/>
          <w:sz w:val="24"/>
          <w:szCs w:val="24"/>
        </w:rPr>
        <w:fldChar w:fldCharType="end"/>
      </w:r>
      <w:r>
        <w:rPr>
          <w:rFonts w:ascii="Calibri" w:hAnsi="Calibri" w:eastAsia="SimSun" w:cs="Calibri"/>
          <w:sz w:val="24"/>
          <w:szCs w:val="24"/>
        </w:rPr>
        <w:t>)</w:t>
      </w:r>
    </w:p>
    <w:p w14:paraId="433543A8">
      <w:pPr>
        <w:pStyle w:val="145"/>
        <w:numPr>
          <w:ilvl w:val="0"/>
          <w:numId w:val="8"/>
        </w:numPr>
        <w:spacing w:after="0" w:line="240" w:lineRule="auto"/>
        <w:rPr>
          <w:rFonts w:ascii="Calibri" w:hAnsi="Calibri" w:eastAsia="SimSun" w:cs="Calibri"/>
          <w:sz w:val="24"/>
          <w:szCs w:val="24"/>
          <w:vertAlign w:val="subscript"/>
        </w:rPr>
      </w:pPr>
      <w:r>
        <w:t>Engineered a robust, multi-domain relational clinical trial tracking database for a 21-patient cohort simulating end-to-end data operations across six core Case Report Form (CRF) domains. (</w:t>
      </w:r>
      <w:r>
        <w:fldChar w:fldCharType="begin"/>
      </w:r>
      <w:r>
        <w:instrText xml:space="preserve"> HYPERLINK "https://docs.google.com/spreadsheets/d/1ZnV5ObMzKUfsji_spRg2vtSNr6C_Azjg/edit?usp=drive_link&amp;ouid=115821372650846631592&amp;rtpof=true&amp;sd=true" </w:instrText>
      </w:r>
      <w:r>
        <w:fldChar w:fldCharType="separate"/>
      </w:r>
      <w:r>
        <w:rPr>
          <w:rStyle w:val="20"/>
        </w:rPr>
        <w:t>View Project Blueprint</w:t>
      </w:r>
      <w:r>
        <w:rPr>
          <w:rStyle w:val="20"/>
        </w:rPr>
        <w:fldChar w:fldCharType="end"/>
      </w:r>
      <w:r>
        <w:t>)</w:t>
      </w:r>
    </w:p>
    <w:p w14:paraId="64DB16CF">
      <w:pPr>
        <w:pStyle w:val="2"/>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14:textFill>
            <w14:solidFill>
              <w14:schemeClr w14:val="tx1"/>
            </w14:solidFill>
          </w14:textFill>
        </w:rPr>
        <w:t>Education</w:t>
      </w:r>
    </w:p>
    <w:p w14:paraId="4406E535">
      <w:pPr>
        <w:rPr>
          <w:sz w:val="24"/>
          <w:szCs w:val="24"/>
        </w:rPr>
      </w:pPr>
      <w:r>
        <w:rPr>
          <w:b/>
          <w:sz w:val="24"/>
          <w:szCs w:val="24"/>
        </w:rPr>
        <w:t>Bachelor of Science in Human Anatomy and Cell Biology</w:t>
      </w:r>
    </w:p>
    <w:p w14:paraId="5793EC35">
      <w:pPr>
        <w:rPr>
          <w:sz w:val="24"/>
          <w:szCs w:val="24"/>
        </w:rPr>
      </w:pPr>
      <w:r>
        <w:rPr>
          <w:sz w:val="24"/>
          <w:szCs w:val="24"/>
        </w:rPr>
        <w:t>Delta State University, Abraka, Nigeria – 2012–2016</w:t>
      </w:r>
    </w:p>
    <w:p w14:paraId="60D991CE">
      <w:pPr>
        <w:pStyle w:val="2"/>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14:textFill>
            <w14:solidFill>
              <w14:schemeClr w14:val="tx1"/>
            </w14:solidFill>
          </w14:textFill>
        </w:rPr>
        <w:t>Professional Certifications</w:t>
      </w:r>
    </w:p>
    <w:p w14:paraId="15BB82E6">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Good Clinical Practice (ICH-GCP)</w:t>
      </w:r>
      <w:r>
        <w:rPr>
          <w:rFonts w:eastAsia="Times New Roman" w:cs="Times New Roman"/>
          <w:sz w:val="24"/>
          <w:szCs w:val="24"/>
        </w:rPr>
        <w:t xml:space="preserve"> </w:t>
      </w:r>
      <w:r>
        <w:rPr>
          <w:rFonts w:eastAsia="Times New Roman" w:cs="Times New Roman"/>
          <w:b/>
          <w:bCs/>
          <w:sz w:val="24"/>
          <w:szCs w:val="24"/>
        </w:rPr>
        <w:t>E6 (R3)</w:t>
      </w:r>
      <w:r>
        <w:rPr>
          <w:rFonts w:eastAsia="Times New Roman" w:cs="Times New Roman"/>
          <w:sz w:val="24"/>
          <w:szCs w:val="24"/>
        </w:rPr>
        <w:t xml:space="preserve"> (2026) The Global Health Network Training Center </w:t>
      </w:r>
    </w:p>
    <w:p w14:paraId="55997D15">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Medical Terminology</w:t>
      </w:r>
      <w:r>
        <w:rPr>
          <w:rFonts w:eastAsia="Times New Roman" w:cs="Times New Roman"/>
          <w:sz w:val="24"/>
          <w:szCs w:val="24"/>
        </w:rPr>
        <w:t xml:space="preserve"> – Coursera (2026)</w:t>
      </w:r>
    </w:p>
    <w:p w14:paraId="7C606C10">
      <w:pPr>
        <w:numPr>
          <w:ilvl w:val="0"/>
          <w:numId w:val="9"/>
        </w:numPr>
        <w:spacing w:before="100" w:beforeAutospacing="1" w:after="100" w:afterAutospacing="1" w:line="240" w:lineRule="auto"/>
        <w:rPr>
          <w:rFonts w:eastAsia="Times New Roman" w:cs="Times New Roman"/>
          <w:sz w:val="24"/>
          <w:szCs w:val="24"/>
        </w:rPr>
      </w:pPr>
      <w:r>
        <w:rPr>
          <w:rFonts w:cs="Times New Roman"/>
          <w:b/>
          <w:bCs/>
          <w:sz w:val="24"/>
          <w:szCs w:val="24"/>
        </w:rPr>
        <w:t>Data Management for Clinical Research- Coursera</w:t>
      </w:r>
      <w:r>
        <w:rPr>
          <w:rFonts w:cs="Times New Roman"/>
          <w:sz w:val="24"/>
          <w:szCs w:val="24"/>
        </w:rPr>
        <w:t xml:space="preserve"> (2026)</w:t>
      </w:r>
      <w:r>
        <w:rPr>
          <w:rFonts w:cs="Times New Roman"/>
          <w:sz w:val="24"/>
          <w:szCs w:val="24"/>
        </w:rPr>
        <w:br w:type="textWrapping"/>
      </w:r>
      <w:r>
        <w:rPr>
          <w:rFonts w:cs="Times New Roman"/>
          <w:sz w:val="24"/>
          <w:szCs w:val="24"/>
        </w:rPr>
        <w:t>Core competencies covered: REDCap database architecture programming, eCRF design, data entry workflows, adverse event reporting, and Excel data cleaning tracking.</w:t>
      </w:r>
    </w:p>
    <w:p w14:paraId="1A1E8F10">
      <w:pPr>
        <w:spacing w:after="0" w:line="240" w:lineRule="auto"/>
        <w:rPr>
          <w:rFonts w:eastAsia="Times New Roman" w:cs="Arial"/>
          <w:sz w:val="24"/>
          <w:szCs w:val="24"/>
        </w:rPr>
      </w:pPr>
      <w:r>
        <w:rPr>
          <w:rStyle w:val="35"/>
          <w:sz w:val="24"/>
          <w:szCs w:val="24"/>
        </w:rPr>
        <w:t>Corporate Language Consultant/Trainer – Interac/ Berlitz (Japan)</w:t>
      </w:r>
    </w:p>
    <w:p w14:paraId="216305FF">
      <w:pPr>
        <w:pStyle w:val="34"/>
        <w:rPr>
          <w:rFonts w:asciiTheme="minorHAnsi" w:hAnsiTheme="minorHAnsi"/>
          <w:b/>
          <w:bCs/>
          <w:i/>
          <w:iCs/>
        </w:rPr>
      </w:pPr>
      <w:r>
        <w:rPr>
          <w:rStyle w:val="17"/>
          <w:rFonts w:asciiTheme="minorHAnsi" w:hAnsiTheme="minorHAnsi"/>
          <w:b/>
          <w:bCs/>
          <w:i w:val="0"/>
          <w:iCs w:val="0"/>
        </w:rPr>
        <w:t>March 2026 – Present</w:t>
      </w:r>
    </w:p>
    <w:p w14:paraId="6EE9CF6A">
      <w:pPr>
        <w:pStyle w:val="145"/>
        <w:numPr>
          <w:ilvl w:val="0"/>
          <w:numId w:val="10"/>
        </w:numPr>
        <w:spacing w:after="0" w:line="240" w:lineRule="auto"/>
        <w:rPr>
          <w:rFonts w:eastAsia="Times New Roman" w:cs="Times New Roman"/>
          <w:sz w:val="24"/>
          <w:szCs w:val="24"/>
        </w:rPr>
      </w:pPr>
      <w:r>
        <w:rPr>
          <w:rFonts w:eastAsia="Times New Roman" w:cs="Times New Roman"/>
          <w:sz w:val="24"/>
          <w:szCs w:val="24"/>
        </w:rPr>
        <w:t>Stakeholder Management: Tailored corporate communication and educational tracks for high-profile Japanese clients, ensuring rapid skill acquisition and client retention.</w:t>
      </w:r>
    </w:p>
    <w:p w14:paraId="1AC7162A">
      <w:pPr>
        <w:pStyle w:val="145"/>
        <w:numPr>
          <w:ilvl w:val="0"/>
          <w:numId w:val="10"/>
        </w:numPr>
        <w:spacing w:after="0" w:line="240" w:lineRule="auto"/>
        <w:rPr>
          <w:rFonts w:eastAsia="Times New Roman" w:cs="Times New Roman"/>
          <w:sz w:val="24"/>
          <w:szCs w:val="24"/>
        </w:rPr>
      </w:pPr>
      <w:r>
        <w:rPr>
          <w:rFonts w:eastAsia="Times New Roman" w:cs="Times New Roman"/>
          <w:sz w:val="24"/>
          <w:szCs w:val="24"/>
          <w:lang w:val="en-US"/>
        </w:rPr>
        <w:t>On-boarding</w:t>
      </w:r>
      <w:r>
        <w:rPr>
          <w:rFonts w:eastAsia="Times New Roman" w:cs="Times New Roman"/>
          <w:sz w:val="24"/>
          <w:szCs w:val="24"/>
        </w:rPr>
        <w:t xml:space="preserve"> &amp; Adaptability: Successfully integrated into the Japanese corporate ecosystem, meeting strict local compliance, scheduling, and service delivery targets.</w:t>
      </w:r>
    </w:p>
    <w:p w14:paraId="62A9F816">
      <w:pPr>
        <w:spacing w:after="0" w:line="240" w:lineRule="auto"/>
        <w:rPr>
          <w:rFonts w:eastAsia="Times New Roman" w:cs="Times New Roman"/>
          <w:sz w:val="24"/>
          <w:szCs w:val="24"/>
        </w:rPr>
      </w:pPr>
    </w:p>
    <w:p w14:paraId="2D9F51FD">
      <w:pPr>
        <w:rPr>
          <w:sz w:val="24"/>
          <w:szCs w:val="24"/>
        </w:rPr>
      </w:pPr>
      <w:r>
        <w:rPr>
          <w:b/>
          <w:sz w:val="24"/>
          <w:szCs w:val="24"/>
        </w:rPr>
        <w:t>Radiology Department Intern – Delta State University Teaching Hospital</w:t>
      </w:r>
    </w:p>
    <w:p w14:paraId="54192343">
      <w:pPr>
        <w:rPr>
          <w:b/>
          <w:bCs/>
          <w:sz w:val="24"/>
          <w:szCs w:val="24"/>
        </w:rPr>
      </w:pPr>
      <w:r>
        <w:rPr>
          <w:b/>
          <w:bCs/>
          <w:sz w:val="24"/>
          <w:szCs w:val="24"/>
        </w:rPr>
        <w:t>2013 – 2014 (6 Months)</w:t>
      </w:r>
    </w:p>
    <w:p w14:paraId="636A9EB3">
      <w:pPr>
        <w:rPr>
          <w:sz w:val="24"/>
          <w:szCs w:val="24"/>
        </w:rPr>
      </w:pPr>
      <w:r>
        <w:rPr>
          <w:sz w:val="24"/>
          <w:szCs w:val="24"/>
        </w:rPr>
        <w:t>• Imaging Support: Assisted radiology department staff during X-ray procedures, including patient preparation an</w:t>
      </w:r>
      <w:bookmarkStart w:id="0" w:name="_GoBack"/>
      <w:bookmarkEnd w:id="0"/>
      <w:r>
        <w:rPr>
          <w:sz w:val="24"/>
          <w:szCs w:val="24"/>
        </w:rPr>
        <w:t>d positioning, within a high-volume hospital diagnostic imaging unit.</w:t>
      </w:r>
    </w:p>
    <w:p w14:paraId="0C571F4F">
      <w:pPr>
        <w:rPr>
          <w:rFonts w:eastAsia="Times New Roman" w:cs="Times New Roman"/>
          <w:sz w:val="24"/>
          <w:szCs w:val="24"/>
        </w:rPr>
      </w:pPr>
      <w:r>
        <w:rPr>
          <w:sz w:val="24"/>
          <w:szCs w:val="24"/>
        </w:rPr>
        <w:t xml:space="preserve">• Diagnostic Exposure: Observed and supported </w:t>
      </w:r>
      <w:r>
        <w:rPr>
          <w:sz w:val="24"/>
          <w:szCs w:val="24"/>
          <w:lang w:val="en-US"/>
        </w:rPr>
        <w:t>radio-graphic</w:t>
      </w:r>
      <w:r>
        <w:rPr>
          <w:sz w:val="24"/>
          <w:szCs w:val="24"/>
        </w:rPr>
        <w:t xml:space="preserve"> image review alongside radiology staff, gaining hands-on exposure to identifying abnormalities (e.g., fractures) and building an early foundation in medical imaging data.</w:t>
      </w:r>
    </w:p>
    <w:p w14:paraId="0558CADB">
      <w:pPr>
        <w:pStyle w:val="2"/>
        <w:rPr>
          <w:rFonts w:asciiTheme="minorHAnsi" w:hAnsiTheme="minorHAnsi"/>
          <w:color w:val="000000" w:themeColor="text1"/>
          <w:sz w:val="24"/>
          <w:szCs w:val="24"/>
          <w14:textFill>
            <w14:solidFill>
              <w14:schemeClr w14:val="tx1"/>
            </w14:solidFill>
          </w14:textFill>
        </w:rPr>
      </w:pPr>
      <w:r>
        <w:rPr>
          <w:rFonts w:asciiTheme="minorHAnsi" w:hAnsiTheme="minorHAnsi"/>
          <w:color w:val="000000" w:themeColor="text1"/>
          <w:sz w:val="24"/>
          <w:szCs w:val="24"/>
          <w14:textFill>
            <w14:solidFill>
              <w14:schemeClr w14:val="tx1"/>
            </w14:solidFill>
          </w14:textFill>
        </w:rPr>
        <w:t>Languages</w:t>
      </w:r>
    </w:p>
    <w:p w14:paraId="3A6AED07">
      <w:pPr>
        <w:rPr>
          <w:sz w:val="24"/>
          <w:szCs w:val="24"/>
        </w:rPr>
      </w:pPr>
      <w:r>
        <w:rPr>
          <w:sz w:val="24"/>
          <w:szCs w:val="24"/>
        </w:rPr>
        <w:t>• English – Native</w:t>
      </w:r>
    </w:p>
    <w:p w14:paraId="33140B99">
      <w:pPr>
        <w:rPr>
          <w:sz w:val="24"/>
          <w:szCs w:val="24"/>
        </w:rPr>
      </w:pPr>
      <w:r>
        <w:rPr>
          <w:sz w:val="24"/>
          <w:szCs w:val="24"/>
        </w:rPr>
        <w:t>• Japanese – Basic (self-studying)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EAB6718"/>
    <w:multiLevelType w:val="multilevel"/>
    <w:tmpl w:val="3EAB6718"/>
    <w:lvl w:ilvl="0" w:tentative="0">
      <w:start w:val="1"/>
      <w:numFmt w:val="bullet"/>
      <w:lvlText w:val=""/>
      <w:lvlJc w:val="left"/>
      <w:pPr>
        <w:ind w:left="828" w:hanging="360"/>
      </w:pPr>
      <w:rPr>
        <w:rFonts w:hint="default" w:ascii="Symbol" w:hAnsi="Symbol"/>
      </w:rPr>
    </w:lvl>
    <w:lvl w:ilvl="1" w:tentative="0">
      <w:start w:val="1"/>
      <w:numFmt w:val="bullet"/>
      <w:lvlText w:val="o"/>
      <w:lvlJc w:val="left"/>
      <w:pPr>
        <w:ind w:left="1548" w:hanging="360"/>
      </w:pPr>
      <w:rPr>
        <w:rFonts w:hint="default" w:ascii="Courier New" w:hAnsi="Courier New" w:cs="Courier New"/>
      </w:rPr>
    </w:lvl>
    <w:lvl w:ilvl="2" w:tentative="0">
      <w:start w:val="1"/>
      <w:numFmt w:val="bullet"/>
      <w:lvlText w:val=""/>
      <w:lvlJc w:val="left"/>
      <w:pPr>
        <w:ind w:left="2268" w:hanging="360"/>
      </w:pPr>
      <w:rPr>
        <w:rFonts w:hint="default" w:ascii="Wingdings" w:hAnsi="Wingdings"/>
      </w:rPr>
    </w:lvl>
    <w:lvl w:ilvl="3" w:tentative="0">
      <w:start w:val="1"/>
      <w:numFmt w:val="bullet"/>
      <w:lvlText w:val=""/>
      <w:lvlJc w:val="left"/>
      <w:pPr>
        <w:ind w:left="2988" w:hanging="360"/>
      </w:pPr>
      <w:rPr>
        <w:rFonts w:hint="default" w:ascii="Symbol" w:hAnsi="Symbol"/>
      </w:rPr>
    </w:lvl>
    <w:lvl w:ilvl="4" w:tentative="0">
      <w:start w:val="1"/>
      <w:numFmt w:val="bullet"/>
      <w:lvlText w:val="o"/>
      <w:lvlJc w:val="left"/>
      <w:pPr>
        <w:ind w:left="3708" w:hanging="360"/>
      </w:pPr>
      <w:rPr>
        <w:rFonts w:hint="default" w:ascii="Courier New" w:hAnsi="Courier New" w:cs="Courier New"/>
      </w:rPr>
    </w:lvl>
    <w:lvl w:ilvl="5" w:tentative="0">
      <w:start w:val="1"/>
      <w:numFmt w:val="bullet"/>
      <w:lvlText w:val=""/>
      <w:lvlJc w:val="left"/>
      <w:pPr>
        <w:ind w:left="4428" w:hanging="360"/>
      </w:pPr>
      <w:rPr>
        <w:rFonts w:hint="default" w:ascii="Wingdings" w:hAnsi="Wingdings"/>
      </w:rPr>
    </w:lvl>
    <w:lvl w:ilvl="6" w:tentative="0">
      <w:start w:val="1"/>
      <w:numFmt w:val="bullet"/>
      <w:lvlText w:val=""/>
      <w:lvlJc w:val="left"/>
      <w:pPr>
        <w:ind w:left="5148" w:hanging="360"/>
      </w:pPr>
      <w:rPr>
        <w:rFonts w:hint="default" w:ascii="Symbol" w:hAnsi="Symbol"/>
      </w:rPr>
    </w:lvl>
    <w:lvl w:ilvl="7" w:tentative="0">
      <w:start w:val="1"/>
      <w:numFmt w:val="bullet"/>
      <w:lvlText w:val="o"/>
      <w:lvlJc w:val="left"/>
      <w:pPr>
        <w:ind w:left="5868" w:hanging="360"/>
      </w:pPr>
      <w:rPr>
        <w:rFonts w:hint="default" w:ascii="Courier New" w:hAnsi="Courier New" w:cs="Courier New"/>
      </w:rPr>
    </w:lvl>
    <w:lvl w:ilvl="8" w:tentative="0">
      <w:start w:val="1"/>
      <w:numFmt w:val="bullet"/>
      <w:lvlText w:val=""/>
      <w:lvlJc w:val="left"/>
      <w:pPr>
        <w:ind w:left="6588" w:hanging="360"/>
      </w:pPr>
      <w:rPr>
        <w:rFonts w:hint="default" w:ascii="Wingdings" w:hAnsi="Wingdings"/>
      </w:rPr>
    </w:lvl>
  </w:abstractNum>
  <w:abstractNum w:abstractNumId="7">
    <w:nsid w:val="43A72339"/>
    <w:multiLevelType w:val="multilevel"/>
    <w:tmpl w:val="43A723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6AC523E"/>
    <w:multiLevelType w:val="multilevel"/>
    <w:tmpl w:val="56AC52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DE80EF7"/>
    <w:multiLevelType w:val="multilevel"/>
    <w:tmpl w:val="7DE80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7"/>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5150"/>
    <w:rsid w:val="000E2E50"/>
    <w:rsid w:val="001477B5"/>
    <w:rsid w:val="0015074B"/>
    <w:rsid w:val="00173B49"/>
    <w:rsid w:val="0029639D"/>
    <w:rsid w:val="002E215F"/>
    <w:rsid w:val="00326F90"/>
    <w:rsid w:val="003364AA"/>
    <w:rsid w:val="003D0A89"/>
    <w:rsid w:val="004028DD"/>
    <w:rsid w:val="004136EE"/>
    <w:rsid w:val="004226AB"/>
    <w:rsid w:val="00426F6C"/>
    <w:rsid w:val="004B6F53"/>
    <w:rsid w:val="00581D08"/>
    <w:rsid w:val="00585757"/>
    <w:rsid w:val="005F749E"/>
    <w:rsid w:val="0070558A"/>
    <w:rsid w:val="007127B8"/>
    <w:rsid w:val="00742D34"/>
    <w:rsid w:val="007B0988"/>
    <w:rsid w:val="007B57CC"/>
    <w:rsid w:val="007C4D77"/>
    <w:rsid w:val="00830DF1"/>
    <w:rsid w:val="008C1624"/>
    <w:rsid w:val="00AA1D8D"/>
    <w:rsid w:val="00B138D5"/>
    <w:rsid w:val="00B3638D"/>
    <w:rsid w:val="00B47730"/>
    <w:rsid w:val="00B82673"/>
    <w:rsid w:val="00BE7DB6"/>
    <w:rsid w:val="00CA52F1"/>
    <w:rsid w:val="00CB0664"/>
    <w:rsid w:val="00CD1C8E"/>
    <w:rsid w:val="00D5688D"/>
    <w:rsid w:val="00D57C86"/>
    <w:rsid w:val="00E03929"/>
    <w:rsid w:val="00E40857"/>
    <w:rsid w:val="00E4149E"/>
    <w:rsid w:val="00EF328E"/>
    <w:rsid w:val="00F05610"/>
    <w:rsid w:val="00FB20E2"/>
    <w:rsid w:val="00FC693F"/>
    <w:rsid w:val="05744983"/>
    <w:rsid w:val="0B787A07"/>
    <w:rsid w:val="43C5641B"/>
    <w:rsid w:val="497B4397"/>
    <w:rsid w:val="4A0D0728"/>
    <w:rsid w:val="4CF30199"/>
    <w:rsid w:val="515B4604"/>
    <w:rsid w:val="531F4D41"/>
    <w:rsid w:val="5C7D5614"/>
    <w:rsid w:val="65BE523A"/>
    <w:rsid w:val="6F7F03D5"/>
    <w:rsid w:val="6FC56D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paragraph" w:customStyle="1" w:styleId="166">
    <w:name w:val="isselecteden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67">
    <w:name w:val="t286pc"/>
    <w:basedOn w:val="11"/>
    <w:qFormat/>
    <w:uiPriority w:val="0"/>
  </w:style>
  <w:style w:type="paragraph" w:customStyle="1" w:styleId="168">
    <w:name w:val="z1qcye"/>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69">
    <w:name w:val="inqyif"/>
    <w:basedOn w:val="11"/>
    <w:qFormat/>
    <w:uiPriority w:val="0"/>
  </w:style>
  <w:style w:type="character" w:customStyle="1" w:styleId="17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416</Words>
  <Characters>2880</Characters>
  <Lines>25</Lines>
  <Paragraphs>7</Paragraphs>
  <TotalTime>60</TotalTime>
  <ScaleCrop>false</ScaleCrop>
  <LinksUpToDate>false</LinksUpToDate>
  <CharactersWithSpaces>3268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2026-07-11T07:31:00Z</dcterms:created>
  <dc:creator>python-docx</dc:creator>
  <dc:description>generated by python-docx</dc:description>
  <cp:lastModifiedBy>USEF</cp:lastModifiedBy>
  <dcterms:modified xsi:type="dcterms:W3CDTF">2026-08-03T03:27:33Z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1ac5f9e3-702f-44cf-8262-2ff9b8d931a2</vt:lpwstr>
  </property>
  <property fmtid="{D5CDD505-2E9C-101B-9397-08002B2CF9AE}" pid="3" name="KSOProductBuildVer">
    <vt:lpwstr>1033-12.1.0.27458</vt:lpwstr>
  </property>
  <property fmtid="{D5CDD505-2E9C-101B-9397-08002B2CF9AE}" pid="4" name="ICV">
    <vt:lpwstr>28F08F4186994004A6A234ABF9C15D18_12</vt:lpwstr>
  </property>
  <property fmtid="{D5CDD505-2E9C-101B-9397-08002B2CF9AE}" pid="5" name="_DocHome">
    <vt:i4>-182525414</vt:i4>
  </property>
  <property fmtid="{D5CDD505-2E9C-101B-9397-08002B2CF9AE}" pid="6" name="KSOTemplateDocerSaveRecord">
    <vt:lpwstr>eyJoZGlkIjoiMjViYTFhYjVlOGNhMGM5ODFjZjM5ZDYzNjliZDBiMDEifQ==</vt:lpwstr>
  </property>
</Properties>
</file>