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666666"/>
          <w:sz w:val="22"/>
          <w:szCs w:val="22"/>
        </w:rPr>
        <w:t xml:space="preserve">TFM easyMoney</w:t>
      </w:r>
    </w:p>
    <w:p>
      <w:pPr>
        <w:pStyle w:val="Title"/>
        <w:spacing w:after="60"/>
        <w:jc w:val="center"/>
      </w:pPr>
      <w:r>
        <w:t xml:space="preserve">Tarea 2 — Modelo de Propensión a la Compra</w:t>
      </w:r>
    </w:p>
    <w:p>
      <w:pPr>
        <w:spacing w:after="300"/>
        <w:jc w:val="center"/>
      </w:pPr>
      <w:r>
        <w:rPr>
          <w:i/>
          <w:iCs/>
          <w:color w:val="666666"/>
        </w:rPr>
        <w:t xml:space="preserve">Justificación metodológica y resultados</w:t>
      </w:r>
    </w:p>
    <w:p>
      <w:pPr>
        <w:pStyle w:val="Heading1"/>
        <w:spacing w:after="150" w:before="300"/>
      </w:pPr>
      <w:r>
        <w:t xml:space="preserve">1. Objetivo</w:t>
      </w:r>
    </w:p>
    <w:p>
      <w:pPr>
        <w:spacing w:after="160"/>
      </w:pPr>
      <w:r>
        <w:t xml:space="preserve">El objetivo de la Tarea 2 es construir un modelo de propensión de cross-selling: identificar, entre los clientes que ya son de easyMoney pero todavía no tienen un producto concreto, cuáles tienen mayor probabilidad de contratarlo el mes siguiente. Se seleccionaron los dos productos de mayor margen identificados en la Tarea 1 (Power BI): pension_plan (79% del margen total) y em_acount (segundo producto de valor, con mayor volumen de clientes elegibles).</w:t>
      </w:r>
    </w:p>
    <w:p>
      <w:pPr>
        <w:pStyle w:val="Heading1"/>
        <w:spacing w:after="150" w:before="300"/>
      </w:pPr>
      <w:r>
        <w:t xml:space="preserve">2. Por qué se parte de los CSV en bruto y no del CSV de la Tarea 1</w:t>
      </w:r>
    </w:p>
    <w:p>
      <w:pPr>
        <w:spacing w:after="160"/>
      </w:pPr>
      <w:r>
        <w:t xml:space="preserve">df_powerbi.csv (el resultado de la Tarea 1) tiene una fila por venta, no por cliente-mes: si un cliente no compró nada en un mes concreto, ese mes no aparece. Para detectar una adquisición nueva (“este cliente no tenía el producto el mes pasado y lo tiene este mes”) se necesita el histórico mensual completo de cada cliente, incluidos los meses sin compra. Esa información solo está en las tablas originales, en concreto en customer_products.csv, que es un panel mensual (una fila por cliente y por mes). Por eso la Tarea 2 reconstruye el pipeline desde los CSV en bruto.</w:t>
      </w:r>
    </w:p>
    <w:p>
      <w:pPr>
        <w:pStyle w:val="Heading1"/>
        <w:spacing w:after="150" w:before="300"/>
      </w:pPr>
      <w:r>
        <w:t xml:space="preserve">3. Definición del target</w:t>
      </w:r>
    </w:p>
    <w:p>
      <w:pPr>
        <w:spacing w:after="160"/>
      </w:pPr>
      <w:r>
        <w:t xml:space="preserve">El target no es “tiene el producto sí/no” (eso ya se conoce con solo mirar el dato y no aporta valor de negocio), sino el evento de adquisición nueva: se calcula con diff() sobre el flag del producto, agrupado por cliente y ordenado por fecha. El resultado es 1 cuando un cliente pasa de no tener el producto a tenerlo, y 0 en cualquier otro caso (ya lo tenía, sigue sin tenerlo, o es el primer mes del cliente en los datos). Esta definición es la que permite anticipar la compra en vez de simplemente describir el estado actual.</w:t>
      </w:r>
    </w:p>
    <w:p>
      <w:pPr>
        <w:pStyle w:val="Heading1"/>
        <w:spacing w:after="150" w:before="300"/>
      </w:pPr>
      <w:r>
        <w:t xml:space="preserve">4. Prevención de data leakage</w:t>
      </w:r>
    </w:p>
    <w:p>
      <w:pPr>
        <w:pStyle w:val="ListParagraph"/>
        <w:numPr>
          <w:ilvl w:val="0"/>
          <w:numId w:val="2"/>
        </w:numPr>
        <w:spacing w:after="80"/>
      </w:pPr>
      <w:r>
        <w:rPr>
          <w:b/>
          <w:bCs/>
        </w:rPr>
        <w:t xml:space="default"/>
      </w:r>
      <w:r>
        <w:t xml:space="preserve">Features en lag-1: </w:t>
      </w:r>
    </w:p>
    <w:p>
      <w:pPr>
        <w:spacing w:after="160"/>
      </w:pPr>
      <w:r>
        <w:t xml:space="preserve">todas las variables usadas por el modelo representan el valor del mes ANTERIOR al que se predice (shift(1) agrupado por cliente). El modelo nunca ve información del mes que intenta predecir.</w:t>
      </w:r>
    </w:p>
    <w:p>
      <w:pPr>
        <w:pStyle w:val="ListParagraph"/>
        <w:numPr>
          <w:ilvl w:val="0"/>
          <w:numId w:val="2"/>
        </w:numPr>
        <w:spacing w:after="80"/>
      </w:pPr>
      <w:r>
        <w:rPr>
          <w:b/>
          <w:bCs/>
        </w:rPr>
        <w:t xml:space="default"/>
      </w:r>
      <w:r>
        <w:t xml:space="preserve">Split temporal estricto: </w:t>
      </w:r>
    </w:p>
    <w:p>
      <w:pPr>
        <w:spacing w:after="160"/>
      </w:pPr>
      <w:r>
        <w:t xml:space="preserve">el corte entre train, test y validación se hace por fecha (último mes disponible = validación, penúltimo = test, resto = entrenamiento), nunca de forma aleatoria. Un split aleatorio filtraría información del futuro al pasado, ya que los datos son un panel repetido por cliente a lo largo de los meses.</w:t>
      </w:r>
    </w:p>
    <w:p>
      <w:pPr>
        <w:pStyle w:val="ListParagraph"/>
        <w:numPr>
          <w:ilvl w:val="0"/>
          <w:numId w:val="2"/>
        </w:numPr>
        <w:spacing w:after="80"/>
      </w:pPr>
      <w:r>
        <w:rPr>
          <w:b/>
          <w:bCs/>
        </w:rPr>
        <w:t xml:space="default"/>
      </w:r>
      <w:r>
        <w:t xml:space="preserve">Universo elegible: </w:t>
      </w:r>
    </w:p>
    <w:p>
      <w:pPr>
        <w:spacing w:after="160"/>
      </w:pPr>
      <w:r>
        <w:t xml:space="preserve">el modelo solo se entrena y evalúa sobre clientes que, el mes anterior, no tenían el producto. Son los únicos casos en los que una adquisición nueva es posible, y los únicos a los que tendría sentido ofrecer el producto.</w:t>
      </w:r>
    </w:p>
    <w:p>
      <w:pPr>
        <w:pStyle w:val="Heading1"/>
        <w:spacing w:after="150" w:before="300"/>
      </w:pPr>
      <w:r>
        <w:t xml:space="preserve">5. Tratamiento del desbalanceo</w:t>
      </w:r>
    </w:p>
    <w:p>
      <w:pPr>
        <w:spacing w:after="160"/>
      </w:pPr>
      <w:r>
        <w:t xml:space="preserve">El target está muy desbalanceado (0,7% de positivos en pension_plan; 2,9% en em_acount), como es normal en eventos de compra puntuales. En vez de aplicar undersampling (que descarta datos), se usó class_weight='balanced' en el modelo, que compensa el desbalanceo dando más peso a la clase minoritaria sin perder información del entrenamiento.</w:t>
      </w:r>
    </w:p>
    <w:p>
      <w:pPr>
        <w:pStyle w:val="Heading1"/>
        <w:spacing w:after="150" w:before="300"/>
      </w:pPr>
      <w:r>
        <w:t xml:space="preserve">6. Modelo utilizado</w:t>
      </w:r>
    </w:p>
    <w:p>
      <w:pPr>
        <w:spacing w:after="160"/>
      </w:pPr>
      <w:r>
        <w:t xml:space="preserve">Árbol de decisión (DecisionTreeClassifier) con profundidad máxima 5: un modelo sencillo e interpretable, adecuado como primera versión y fácil de explicar en la defensa del TFM. Variables categóricas (segmento, canal de entrada, género) codificadas con One-Hot Encoding; las categorías poco frecuentes de entry_channel se agruparon en “Otros” para evitar ruido.</w:t>
      </w:r>
    </w:p>
    <w:p>
      <w:pPr>
        <w:pStyle w:val="Heading1"/>
        <w:spacing w:after="150" w:before="300"/>
      </w:pPr>
      <w:r>
        <w:t xml:space="preserve">7. Resultados técnicos</w:t>
      </w:r>
    </w:p>
    <w:p>
      <w:pPr>
        <w:spacing w:after="160"/>
      </w:pPr>
      <w:r>
        <w:t xml:space="preserve">Evaluación sobre el mes de test (no visto durante el entrenamiento), usando predict_proba (no predict) para la curva ROC/AUC: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tcPr>
            <w:tcW w:type="dxa" w:w="3212"/>
            <w:shd w:fill="2E5395" w:val="clear"/>
          </w:tcPr>
          <w:p>
            <w:pPr>
              <w:jc w:val="center"/>
            </w:pPr>
            <w:r>
              <w:rPr>
                <w:b/>
                <w:bCs/>
                <w:color w:val="FFFFFF"/>
              </w:rPr>
              <w:t xml:space="preserve">Métrica</w:t>
            </w:r>
          </w:p>
        </w:tc>
        <w:tc>
          <w:tcPr>
            <w:tcW w:type="dxa" w:w="3212"/>
            <w:shd w:fill="2E5395" w:val="clear"/>
          </w:tcPr>
          <w:p>
            <w:pPr>
              <w:jc w:val="center"/>
            </w:pPr>
            <w:r>
              <w:rPr>
                <w:b/>
                <w:bCs/>
                <w:color w:val="FFFFFF"/>
              </w:rPr>
              <w:t xml:space="preserve">pension_plan</w:t>
            </w:r>
          </w:p>
        </w:tc>
        <w:tc>
          <w:tcPr>
            <w:tcW w:type="dxa" w:w="3212"/>
            <w:shd w:fill="2E5395" w:val="clear"/>
          </w:tcPr>
          <w:p>
            <w:pPr>
              <w:jc w:val="center"/>
            </w:pPr>
            <w:r>
              <w:rPr>
                <w:b/>
                <w:bCs/>
                <w:color w:val="FFFFFF"/>
              </w:rPr>
              <w:t xml:space="preserve">em_acount</w:t>
            </w:r>
          </w:p>
        </w:tc>
      </w:tr>
      <w:tr>
        <w:tc>
          <w:tcPr>
            <w:tcW w:type="dxa" w:w="3212"/>
            <w:shd w:fill="F2F5FA" w:val="clear"/>
          </w:tcPr>
          <w:p>
            <w:pPr>
              <w:jc w:val="center"/>
            </w:pPr>
            <w:r>
              <w:t xml:space="preserve">AUC (test)</w:t>
            </w:r>
          </w:p>
        </w:tc>
        <w:tc>
          <w:tcPr>
            <w:tcW w:type="dxa" w:w="3212"/>
            <w:shd w:fill="F2F5FA" w:val="clear"/>
          </w:tcPr>
          <w:p>
            <w:pPr>
              <w:jc w:val="center"/>
            </w:pPr>
            <w:r>
              <w:t xml:space="preserve">0.862</w:t>
            </w:r>
          </w:p>
        </w:tc>
        <w:tc>
          <w:tcPr>
            <w:tcW w:type="dxa" w:w="3212"/>
            <w:shd w:fill="F2F5FA" w:val="clear"/>
          </w:tcPr>
          <w:p>
            <w:pPr>
              <w:jc w:val="center"/>
            </w:pPr>
            <w:r>
              <w:t xml:space="preserve">0.851</w:t>
            </w:r>
          </w:p>
        </w:tc>
      </w:tr>
      <w:tr>
        <w:tc>
          <w:tcPr>
            <w:tcW w:type="dxa" w:w="3212"/>
            <w:shd w:fill="FFFFFF" w:val="clear"/>
          </w:tcPr>
          <w:p>
            <w:pPr>
              <w:jc w:val="center"/>
            </w:pPr>
            <w:r>
              <w:t xml:space="preserve">Recall clase Compra (test)</w:t>
            </w:r>
          </w:p>
        </w:tc>
        <w:tc>
          <w:tcPr>
            <w:tcW w:type="dxa" w:w="3212"/>
            <w:shd w:fill="FFFFFF" w:val="clear"/>
          </w:tcPr>
          <w:p>
            <w:pPr>
              <w:jc w:val="center"/>
            </w:pPr>
            <w:r>
              <w:t xml:space="preserve">0.87</w:t>
            </w:r>
          </w:p>
        </w:tc>
        <w:tc>
          <w:tcPr>
            <w:tcW w:type="dxa" w:w="3212"/>
            <w:shd w:fill="FFFFFF" w:val="clear"/>
          </w:tcPr>
          <w:p>
            <w:pPr>
              <w:jc w:val="center"/>
            </w:pPr>
            <w:r>
              <w:t xml:space="preserve">0.80</w:t>
            </w:r>
          </w:p>
        </w:tc>
      </w:tr>
      <w:tr>
        <w:tc>
          <w:tcPr>
            <w:tcW w:type="dxa" w:w="3212"/>
            <w:shd w:fill="F2F5FA" w:val="clear"/>
          </w:tcPr>
          <w:p>
            <w:pPr>
              <w:jc w:val="center"/>
            </w:pPr>
            <w:r>
              <w:t xml:space="preserve">Precision clase Compra (test)</w:t>
            </w:r>
          </w:p>
        </w:tc>
        <w:tc>
          <w:tcPr>
            <w:tcW w:type="dxa" w:w="3212"/>
            <w:shd w:fill="F2F5FA" w:val="clear"/>
          </w:tcPr>
          <w:p>
            <w:pPr>
              <w:jc w:val="center"/>
            </w:pPr>
            <w:r>
              <w:t xml:space="preserve">0.02</w:t>
            </w:r>
          </w:p>
        </w:tc>
        <w:tc>
          <w:tcPr>
            <w:tcW w:type="dxa" w:w="3212"/>
            <w:shd w:fill="F2F5FA" w:val="clear"/>
          </w:tcPr>
          <w:p>
            <w:pPr>
              <w:jc w:val="center"/>
            </w:pPr>
            <w:r>
              <w:t xml:space="preserve">0.07</w:t>
            </w:r>
          </w:p>
        </w:tc>
      </w:tr>
    </w:tbl>
    <w:p>
      <w:pPr>
        <w:spacing w:after="200"/>
      </w:pPr>
    </w:p>
    <w:p>
      <w:pPr>
        <w:spacing w:after="160"/>
      </w:pPr>
      <w:r>
        <w:t xml:space="preserve">La precision baja es esperable dado el desbalanceo extremo y el corte por defecto (0.5) del classification_report: no es la métrica relevante para el uso real del modelo, que se basa en ordenar a los clientes por probabilidad (ver siguiente sección).</w:t>
      </w:r>
    </w:p>
    <w:p>
      <w:pPr>
        <w:pStyle w:val="Heading1"/>
        <w:spacing w:after="150" w:before="300"/>
      </w:pPr>
      <w:r>
        <w:t xml:space="preserve">8. Resultado de negocio: conversión real en el top 5%</w:t>
      </w:r>
    </w:p>
    <w:p>
      <w:pPr>
        <w:spacing w:after="160"/>
      </w:pPr>
      <w:r>
        <w:t xml:space="preserve">En la práctica, no se contacta a todo cliente que el modelo marca con el corte de 0.5 — se ordena a los clientes por probabilidad predicha y se contacta a un porcentaje pequeño de arriba. Se simuló esto sobre el mes de validación (el único mes no usado para ajustar ninguna decisión anterior):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tcPr>
            <w:tcW w:type="dxa" w:w="3212"/>
            <w:shd w:fill="2E5395" w:val="clear"/>
          </w:tcPr>
          <w:p>
            <w:pPr>
              <w:jc w:val="center"/>
            </w:pPr>
            <w:r>
              <w:rPr>
                <w:b/>
                <w:bCs/>
                <w:color w:val="FFFFFF"/>
              </w:rPr>
              <w:t xml:space="preserve">Métrica (top 5%)</w:t>
            </w:r>
          </w:p>
        </w:tc>
        <w:tc>
          <w:tcPr>
            <w:tcW w:type="dxa" w:w="3212"/>
            <w:shd w:fill="2E5395" w:val="clear"/>
          </w:tcPr>
          <w:p>
            <w:pPr>
              <w:jc w:val="center"/>
            </w:pPr>
            <w:r>
              <w:rPr>
                <w:b/>
                <w:bCs/>
                <w:color w:val="FFFFFF"/>
              </w:rPr>
              <w:t xml:space="preserve">pension_plan</w:t>
            </w:r>
          </w:p>
        </w:tc>
        <w:tc>
          <w:tcPr>
            <w:tcW w:type="dxa" w:w="3212"/>
            <w:shd w:fill="2E5395" w:val="clear"/>
          </w:tcPr>
          <w:p>
            <w:pPr>
              <w:jc w:val="center"/>
            </w:pPr>
            <w:r>
              <w:rPr>
                <w:b/>
                <w:bCs/>
                <w:color w:val="FFFFFF"/>
              </w:rPr>
              <w:t xml:space="preserve">em_acount</w:t>
            </w:r>
          </w:p>
        </w:tc>
      </w:tr>
      <w:tr>
        <w:tc>
          <w:tcPr>
            <w:tcW w:type="dxa" w:w="3212"/>
            <w:shd w:fill="F2F5FA" w:val="clear"/>
          </w:tcPr>
          <w:p>
            <w:pPr>
              <w:jc w:val="center"/>
            </w:pPr>
            <w:r>
              <w:t xml:space="preserve">Conversión real</w:t>
            </w:r>
          </w:p>
        </w:tc>
        <w:tc>
          <w:tcPr>
            <w:tcW w:type="dxa" w:w="3212"/>
            <w:shd w:fill="F2F5FA" w:val="clear"/>
          </w:tcPr>
          <w:p>
            <w:pPr>
              <w:jc w:val="center"/>
            </w:pPr>
            <w:r>
              <w:t xml:space="preserve">4.15%</w:t>
            </w:r>
          </w:p>
        </w:tc>
        <w:tc>
          <w:tcPr>
            <w:tcW w:type="dxa" w:w="3212"/>
            <w:shd w:fill="F2F5FA" w:val="clear"/>
          </w:tcPr>
          <w:p>
            <w:pPr>
              <w:jc w:val="center"/>
            </w:pPr>
            <w:r>
              <w:t xml:space="preserve">15.82%</w:t>
            </w:r>
          </w:p>
        </w:tc>
      </w:tr>
      <w:tr>
        <w:tc>
          <w:tcPr>
            <w:tcW w:type="dxa" w:w="3212"/>
            <w:shd w:fill="FFFFFF" w:val="clear"/>
          </w:tcPr>
          <w:p>
            <w:pPr>
              <w:jc w:val="center"/>
            </w:pPr>
            <w:r>
              <w:t xml:space="preserve">Conversión al azar</w:t>
            </w:r>
          </w:p>
        </w:tc>
        <w:tc>
          <w:tcPr>
            <w:tcW w:type="dxa" w:w="3212"/>
            <w:shd w:fill="FFFFFF" w:val="clear"/>
          </w:tcPr>
          <w:p>
            <w:pPr>
              <w:jc w:val="center"/>
            </w:pPr>
            <w:r>
              <w:t xml:space="preserve">0.66%</w:t>
            </w:r>
          </w:p>
        </w:tc>
        <w:tc>
          <w:tcPr>
            <w:tcW w:type="dxa" w:w="3212"/>
            <w:shd w:fill="FFFFFF" w:val="clear"/>
          </w:tcPr>
          <w:p>
            <w:pPr>
              <w:jc w:val="center"/>
            </w:pPr>
            <w:r>
              <w:t xml:space="preserve">1.73%</w:t>
            </w:r>
          </w:p>
        </w:tc>
      </w:tr>
      <w:tr>
        <w:tc>
          <w:tcPr>
            <w:tcW w:type="dxa" w:w="3212"/>
            <w:shd w:fill="F2F5FA" w:val="clear"/>
          </w:tcPr>
          <w:p>
            <w:pPr>
              <w:jc w:val="center"/>
            </w:pPr>
            <w:r>
              <w:t xml:space="preserve">Mejora vs. azar</w:t>
            </w:r>
          </w:p>
        </w:tc>
        <w:tc>
          <w:tcPr>
            <w:tcW w:type="dxa" w:w="3212"/>
            <w:shd w:fill="F2F5FA" w:val="clear"/>
          </w:tcPr>
          <w:p>
            <w:pPr>
              <w:jc w:val="center"/>
            </w:pPr>
            <w:r>
              <w:t xml:space="preserve">x6.3</w:t>
            </w:r>
          </w:p>
        </w:tc>
        <w:tc>
          <w:tcPr>
            <w:tcW w:type="dxa" w:w="3212"/>
            <w:shd w:fill="F2F5FA" w:val="clear"/>
          </w:tcPr>
          <w:p>
            <w:pPr>
              <w:jc w:val="center"/>
            </w:pPr>
            <w:r>
              <w:t xml:space="preserve">x9.1</w:t>
            </w:r>
          </w:p>
        </w:tc>
      </w:tr>
      <w:tr>
        <w:tc>
          <w:tcPr>
            <w:tcW w:type="dxa" w:w="3212"/>
            <w:shd w:fill="FFFFFF" w:val="clear"/>
          </w:tcPr>
          <w:p>
            <w:pPr>
              <w:jc w:val="center"/>
            </w:pPr>
            <w:r>
              <w:t xml:space="preserve">% de compradores reales capturados</w:t>
            </w:r>
          </w:p>
        </w:tc>
        <w:tc>
          <w:tcPr>
            <w:tcW w:type="dxa" w:w="3212"/>
            <w:shd w:fill="FFFFFF" w:val="clear"/>
          </w:tcPr>
          <w:p>
            <w:pPr>
              <w:jc w:val="center"/>
            </w:pPr>
            <w:r>
              <w:t xml:space="preserve">~31%</w:t>
            </w:r>
          </w:p>
        </w:tc>
        <w:tc>
          <w:tcPr>
            <w:tcW w:type="dxa" w:w="3212"/>
            <w:shd w:fill="FFFFFF" w:val="clear"/>
          </w:tcPr>
          <w:p>
            <w:pPr>
              <w:jc w:val="center"/>
            </w:pPr>
            <w:r>
              <w:t xml:space="preserve">~46%</w:t>
            </w:r>
          </w:p>
        </w:tc>
      </w:tr>
    </w:tbl>
    <w:p>
      <w:pPr>
        <w:spacing w:after="200"/>
      </w:pPr>
    </w:p>
    <w:p>
      <w:pPr>
        <w:spacing w:after="160"/>
      </w:pPr>
      <w:r>
        <w:t xml:space="preserve">Es decir: contactando solo al 5% de la base de clientes elegibles, se captura entre un tercio y casi la mitad de todos los compradores reales del mes siguiente, con una conversión varias veces superior a contactar al azar.</w:t>
      </w:r>
    </w:p>
    <w:p>
      <w:pPr>
        <w:pStyle w:val="Heading1"/>
        <w:spacing w:after="150" w:before="300"/>
      </w:pPr>
      <w:r>
        <w:t xml:space="preserve">9. Justificación del alcance: por qué solo 2 productos</w:t>
      </w:r>
    </w:p>
    <w:p>
      <w:pPr>
        <w:spacing w:after="160"/>
      </w:pPr>
      <w:r>
        <w:t xml:space="preserve">Antes de cerrar el alcance, se comprobó si los otros dos productos de alto margen de la Tarea 1 (short_term_deposit y long_term_deposit) tenían suficiente señal para un modelo propio, contando adquisiciones nuevas sobre el universo elegible real: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09"/>
      </w:tblGrid>
      <w:tr>
        <w:tc>
          <w:tcPr>
            <w:tcW w:type="dxa" w:w="2409"/>
            <w:shd w:fill="2E5395" w:val="clear"/>
          </w:tcPr>
          <w:p>
            <w:pPr>
              <w:jc w:val="center"/>
            </w:pPr>
            <w:r>
              <w:rPr>
                <w:b/>
                <w:bCs/>
                <w:color w:val="FFFFFF"/>
              </w:rPr>
              <w:t xml:space="preserve">Producto</w:t>
            </w:r>
          </w:p>
        </w:tc>
        <w:tc>
          <w:tcPr>
            <w:tcW w:type="dxa" w:w="2409"/>
            <w:shd w:fill="2E5395" w:val="clear"/>
          </w:tcPr>
          <w:p>
            <w:pPr>
              <w:jc w:val="center"/>
            </w:pPr>
            <w:r>
              <w:rPr>
                <w:b/>
                <w:bCs/>
                <w:color w:val="FFFFFF"/>
              </w:rPr>
              <w:t xml:space="preserve">Universo elegible</w:t>
            </w:r>
          </w:p>
        </w:tc>
        <w:tc>
          <w:tcPr>
            <w:tcW w:type="dxa" w:w="2409"/>
            <w:shd w:fill="2E5395" w:val="clear"/>
          </w:tcPr>
          <w:p>
            <w:pPr>
              <w:jc w:val="center"/>
            </w:pPr>
            <w:r>
              <w:rPr>
                <w:b/>
                <w:bCs/>
                <w:color w:val="FFFFFF"/>
              </w:rPr>
              <w:t xml:space="preserve">Adquisiciones nuevas</w:t>
            </w:r>
          </w:p>
        </w:tc>
        <w:tc>
          <w:tcPr>
            <w:tcW w:type="dxa" w:w="2409"/>
            <w:shd w:fill="2E5395" w:val="clear"/>
          </w:tcPr>
          <w:p>
            <w:pPr>
              <w:jc w:val="center"/>
            </w:pPr>
            <w:r>
              <w:rPr>
                <w:b/>
                <w:bCs/>
                <w:color w:val="FFFFFF"/>
              </w:rPr>
              <w:t xml:space="preserve">Tasa de positivos</w:t>
            </w:r>
          </w:p>
        </w:tc>
      </w:tr>
      <w:tr>
        <w:tc>
          <w:tcPr>
            <w:tcW w:type="dxa" w:w="2409"/>
            <w:shd w:fill="F2F5FA" w:val="clear"/>
          </w:tcPr>
          <w:p>
            <w:pPr>
              <w:jc w:val="center"/>
            </w:pPr>
            <w:r>
              <w:t xml:space="preserve">short_term_deposit</w:t>
            </w:r>
          </w:p>
        </w:tc>
        <w:tc>
          <w:tcPr>
            <w:tcW w:type="dxa" w:w="2409"/>
            <w:shd w:fill="F2F5FA" w:val="clear"/>
          </w:tcPr>
          <w:p>
            <w:pPr>
              <w:jc w:val="center"/>
            </w:pPr>
            <w:r>
              <w:t xml:space="preserve">5.490.143</w:t>
            </w:r>
          </w:p>
        </w:tc>
        <w:tc>
          <w:tcPr>
            <w:tcW w:type="dxa" w:w="2409"/>
            <w:shd w:fill="F2F5FA" w:val="clear"/>
          </w:tcPr>
          <w:p>
            <w:pPr>
              <w:jc w:val="center"/>
            </w:pPr>
            <w:r>
              <w:t xml:space="preserve">2.565</w:t>
            </w:r>
          </w:p>
        </w:tc>
        <w:tc>
          <w:tcPr>
            <w:tcW w:type="dxa" w:w="2409"/>
            <w:shd w:fill="F2F5FA" w:val="clear"/>
          </w:tcPr>
          <w:p>
            <w:pPr>
              <w:jc w:val="center"/>
            </w:pPr>
            <w:r>
              <w:t xml:space="preserve">0.0467%</w:t>
            </w:r>
          </w:p>
        </w:tc>
      </w:tr>
      <w:tr>
        <w:tc>
          <w:tcPr>
            <w:tcW w:type="dxa" w:w="2409"/>
            <w:shd w:fill="FFFFFF" w:val="clear"/>
          </w:tcPr>
          <w:p>
            <w:pPr>
              <w:jc w:val="center"/>
            </w:pPr>
            <w:r>
              <w:t xml:space="preserve">long_term_deposit</w:t>
            </w:r>
          </w:p>
        </w:tc>
        <w:tc>
          <w:tcPr>
            <w:tcW w:type="dxa" w:w="2409"/>
            <w:shd w:fill="FFFFFF" w:val="clear"/>
          </w:tcPr>
          <w:p>
            <w:pPr>
              <w:jc w:val="center"/>
            </w:pPr>
            <w:r>
              <w:t xml:space="preserve">5.411.175</w:t>
            </w:r>
          </w:p>
        </w:tc>
        <w:tc>
          <w:tcPr>
            <w:tcW w:type="dxa" w:w="2409"/>
            <w:shd w:fill="FFFFFF" w:val="clear"/>
          </w:tcPr>
          <w:p>
            <w:pPr>
              <w:jc w:val="center"/>
            </w:pPr>
            <w:r>
              <w:t xml:space="preserve">3.997</w:t>
            </w:r>
          </w:p>
        </w:tc>
        <w:tc>
          <w:tcPr>
            <w:tcW w:type="dxa" w:w="2409"/>
            <w:shd w:fill="FFFFFF" w:val="clear"/>
          </w:tcPr>
          <w:p>
            <w:pPr>
              <w:jc w:val="center"/>
            </w:pPr>
            <w:r>
              <w:t xml:space="preserve">0.0739%</w:t>
            </w:r>
          </w:p>
        </w:tc>
      </w:tr>
    </w:tbl>
    <w:p>
      <w:pPr>
        <w:spacing w:after="200"/>
      </w:pPr>
    </w:p>
    <w:p>
      <w:pPr>
        <w:spacing w:after="160"/>
      </w:pPr>
      <w:r>
        <w:t xml:space="preserve">Ambos productos tienen una tasa de positivos 10-15 veces menor que pension_plan (0,7%) y em_acount (2,9%). Repartido entre los ~17 meses disponibles, esto deja aproximadamente 150-250 adquisiciones reales por mes — insuficiente para evaluar un modelo con fiabilidad estadística. Esta es una decisión empírica, no arbitraria, y coincide con el criterio seguido en trabajos de referencia de cohortes anteriores del mismo caso de estudio.</w:t>
      </w:r>
    </w:p>
    <w:p>
      <w:pPr>
        <w:pStyle w:val="Heading1"/>
        <w:spacing w:after="150" w:before="300"/>
      </w:pPr>
      <w:r>
        <w:t xml:space="preserve">10. Entregables</w:t>
      </w:r>
    </w:p>
    <w:p>
      <w:pPr>
        <w:pStyle w:val="ListParagraph"/>
        <w:numPr>
          <w:ilvl w:val="0"/>
          <w:numId w:val="2"/>
        </w:numPr>
        <w:spacing w:after="80"/>
      </w:pPr>
      <w:r>
        <w:rPr>
          <w:b/>
          <w:bCs/>
        </w:rPr>
        <w:t xml:space="default"/>
      </w:r>
      <w:r>
        <w:t xml:space="preserve">02_preprocessing_propension.ipynb: </w:t>
      </w:r>
    </w:p>
    <w:p>
      <w:pPr>
        <w:spacing w:after="160"/>
      </w:pPr>
      <w:r>
        <w:t xml:space="preserve">carga de los CSV en bruto, limpieza, construcción del panel cliente-mes y features compartidas (lag-1).</w:t>
      </w:r>
    </w:p>
    <w:p>
      <w:pPr>
        <w:pStyle w:val="ListParagraph"/>
        <w:numPr>
          <w:ilvl w:val="0"/>
          <w:numId w:val="2"/>
        </w:numPr>
        <w:spacing w:after="80"/>
      </w:pPr>
      <w:r>
        <w:rPr>
          <w:b/>
          <w:bCs/>
        </w:rPr>
        <w:t xml:space="default"/>
      </w:r>
      <w:r>
        <w:t xml:space="preserve">03_modelling_pension_plan.ipynb y 04_modelling_em_acount.ipynb: </w:t>
      </w:r>
    </w:p>
    <w:p>
      <w:pPr>
        <w:spacing w:after="160"/>
      </w:pPr>
      <w:r>
        <w:t xml:space="preserve">target, split temporal, codificación, entrenamiento, evaluación técnica y de negocio para cada producto.</w:t>
      </w:r>
    </w:p>
    <w:p>
      <w:pPr>
        <w:pStyle w:val="ListParagraph"/>
        <w:numPr>
          <w:ilvl w:val="0"/>
          <w:numId w:val="2"/>
        </w:numPr>
        <w:spacing w:after="80"/>
      </w:pPr>
      <w:r>
        <w:rPr>
          <w:b/>
          <w:bCs/>
        </w:rPr>
        <w:t xml:space="default"/>
      </w:r>
      <w:r>
        <w:t xml:space="preserve">Scoring final: </w:t>
      </w:r>
    </w:p>
    <w:p>
      <w:pPr>
        <w:spacing w:after="160"/>
      </w:pPr>
      <w:r>
        <w:t xml:space="preserve">aplicación del modelo ya entrenado al último mes disponible, generando una lista real de clientes elegibles ordenada por probabilidad (data/scoring_pension_plan.csv y data/scoring_em_acount.csv) — el entregable directamente utilizable por el equipo de marketing.</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2026-07-08T09:43:55.192Z</dcterms:created>
  <dcterms:modified xsi:type="dcterms:W3CDTF">2026-07-08T09:43:55.192Z</dcterms:modified>
</cp:coreProperties>
</file>

<file path=docProps/custom.xml><?xml version="1.0" encoding="utf-8"?>
<Properties xmlns="http://schemas.openxmlformats.org/officeDocument/2006/custom-properties" xmlns:vt="http://schemas.openxmlformats.org/officeDocument/2006/docPropsVTypes"/>
</file>