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29/12/2025 12:59:13</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w:t>
      </w:r>
    </w:p>
    <w:p>
      <w:pPr>
        <w:pStyle w:val="ListBullet"/>
      </w:pPr>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VERT.4</w:t>
            </w:r>
          </w:p>
        </w:tc>
        <w:tc>
          <w:tcPr>
            <w:tcW w:type="dxa" w:w="1728"/>
          </w:tcPr>
          <w:p>
            <w:r>
              <w:t>-27°39'07.49598"</w:t>
            </w:r>
          </w:p>
        </w:tc>
        <w:tc>
          <w:tcPr>
            <w:tcW w:type="dxa" w:w="1728"/>
          </w:tcPr>
          <w:p>
            <w:r>
              <w:t>-62°04'59.25819"</w:t>
            </w:r>
          </w:p>
        </w:tc>
        <w:tc>
          <w:tcPr>
            <w:tcW w:type="dxa" w:w="1728"/>
          </w:tcPr>
          <w:p>
            <w:r>
              <w:t>6941743.078</w:t>
            </w:r>
          </w:p>
        </w:tc>
        <w:tc>
          <w:tcPr>
            <w:tcW w:type="dxa" w:w="1728"/>
          </w:tcPr>
          <w:p>
            <w:r>
              <w:t>4590475.525</w:t>
            </w:r>
          </w:p>
        </w:tc>
      </w:tr>
      <w:tr>
        <w:tc>
          <w:tcPr>
            <w:tcW w:type="dxa" w:w="1728"/>
          </w:tcPr>
          <w:p>
            <w:r>
              <w:t>VERT.2</w:t>
            </w:r>
          </w:p>
        </w:tc>
        <w:tc>
          <w:tcPr>
            <w:tcW w:type="dxa" w:w="1728"/>
          </w:tcPr>
          <w:p>
            <w:r>
              <w:t>-27°36'44.23326"</w:t>
            </w:r>
          </w:p>
        </w:tc>
        <w:tc>
          <w:tcPr>
            <w:tcW w:type="dxa" w:w="1728"/>
          </w:tcPr>
          <w:p>
            <w:r>
              <w:t>-62°06'21.60029"</w:t>
            </w:r>
          </w:p>
        </w:tc>
        <w:tc>
          <w:tcPr>
            <w:tcW w:type="dxa" w:w="1728"/>
          </w:tcPr>
          <w:p>
            <w:r>
              <w:t>6946169.789</w:t>
            </w:r>
          </w:p>
        </w:tc>
        <w:tc>
          <w:tcPr>
            <w:tcW w:type="dxa" w:w="1728"/>
          </w:tcPr>
          <w:p>
            <w:r>
              <w:t>4588250.284</w:t>
            </w:r>
          </w:p>
        </w:tc>
      </w:tr>
      <w:tr>
        <w:tc>
          <w:tcPr>
            <w:tcW w:type="dxa" w:w="1728"/>
          </w:tcPr>
          <w:p>
            <w:r>
              <w:t>VINC.</w:t>
            </w:r>
          </w:p>
        </w:tc>
        <w:tc>
          <w:tcPr>
            <w:tcW w:type="dxa" w:w="1728"/>
          </w:tcPr>
          <w:p>
            <w:r>
              <w:t>-27°37'28.44550"</w:t>
            </w:r>
          </w:p>
        </w:tc>
        <w:tc>
          <w:tcPr>
            <w:tcW w:type="dxa" w:w="1728"/>
          </w:tcPr>
          <w:p>
            <w:r>
              <w:t>-62°04'58.56534"</w:t>
            </w:r>
          </w:p>
        </w:tc>
        <w:tc>
          <w:tcPr>
            <w:tcW w:type="dxa" w:w="1728"/>
          </w:tcPr>
          <w:p>
            <w:r>
              <w:t>6944792.090</w:t>
            </w:r>
          </w:p>
        </w:tc>
        <w:tc>
          <w:tcPr>
            <w:tcW w:type="dxa" w:w="1728"/>
          </w:tcPr>
          <w:p>
            <w:r>
              <w:t>4590517.159</w:t>
            </w:r>
          </w:p>
        </w:tc>
      </w:tr>
      <w:tr>
        <w:tc>
          <w:tcPr>
            <w:tcW w:type="dxa" w:w="1728"/>
          </w:tcPr>
          <w:p>
            <w:r>
              <w:t>TOSF</w:t>
            </w:r>
          </w:p>
        </w:tc>
        <w:tc>
          <w:tcPr>
            <w:tcW w:type="dxa" w:w="1728"/>
          </w:tcPr>
          <w:p>
            <w:r>
              <w:t>-29°13'55.05151"</w:t>
            </w:r>
          </w:p>
        </w:tc>
        <w:tc>
          <w:tcPr>
            <w:tcW w:type="dxa" w:w="1728"/>
          </w:tcPr>
          <w:p>
            <w:r>
              <w:t>-61°46'12.76418"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