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before="400" w:after="80"/>
        <w:jc w:val="center"/>
      </w:pPr>
      <w:r>
        <w:rPr>
          <w:rFonts w:ascii="Arial" w:cs="Arial" w:eastAsia="Arial" w:hAnsi="Arial"/>
          <w:b/>
          <w:bCs/>
          <w:color w:val="888888"/>
          <w:sz w:val="28"/>
          <w:szCs w:val="28"/>
        </w:rPr>
        <w:t xml:space="preserve">ZENITH PAYMENTS PTY LTD</w:t>
      </w:r>
    </w:p>
    <w:p>
      <w:pPr>
        <w:spacing w:before="0" w:after="80"/>
        <w:jc w:val="center"/>
      </w:pPr>
      <w:r>
        <w:rPr>
          <w:rFonts w:ascii="Arial" w:cs="Arial" w:eastAsia="Arial" w:hAnsi="Arial"/>
          <w:b/>
          <w:bCs/>
          <w:color w:val="1F3864"/>
          <w:sz w:val="52"/>
          <w:szCs w:val="52"/>
        </w:rPr>
        <w:t xml:space="preserve">VENDOR RISK MANAGEMENT ASSESSMENT</w:t>
      </w:r>
    </w:p>
    <w:p>
      <w:pPr>
        <w:spacing w:before="0" w:after="40"/>
        <w:jc w:val="center"/>
      </w:pPr>
      <w:r>
        <w:rPr>
          <w:rFonts w:ascii="Arial" w:cs="Arial" w:eastAsia="Arial" w:hAnsi="Arial"/>
          <w:color w:val="888888"/>
          <w:sz w:val="22"/>
          <w:szCs w:val="22"/>
        </w:rPr>
        <w:t xml:space="preserve">Report Reference: ZP-GRC-VRM-2026-001</w:t>
      </w:r>
    </w:p>
    <w:p>
      <w:pPr>
        <w:spacing w:before="0" w:after="400"/>
        <w:jc w:val="center"/>
      </w:pPr>
      <w:r>
        <w:rPr>
          <w:rFonts w:ascii="Arial" w:cs="Arial" w:eastAsia="Arial" w:hAnsi="Arial"/>
          <w:color w:val="888888"/>
          <w:sz w:val="22"/>
          <w:szCs w:val="22"/>
        </w:rPr>
        <w:t xml:space="preserve">Classification: Strictly Confidential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Report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Vendor Risk Management Assessment</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Report Reference</w:t>
            </w:r>
          </w:p>
        </w:tc>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ZP-GRC-VRM-2026-001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Sandra Uneze, GRC Analyst</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Reviewed By</w:t>
            </w:r>
          </w:p>
        </w:tc>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Head of Risk and Compliance, Zenith Payments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Issue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1.0 - Final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Strictly Confidential - Internal Use Only</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Frameworks Applied</w:t>
            </w:r>
          </w:p>
        </w:tc>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ISO 27036 | NIST Cybersecurity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Vendors Assessed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VericAsh | RedApp | Leo</w:t>
            </w:r>
          </w:p>
        </w:tc>
      </w:tr>
    </w:tbl>
    <w:p>
      <w:r>
        <w:rPr>
          <w:sz w:val="22"/>
          <w:szCs w:val="22"/>
        </w:rPr>
        <w:t xml:space="preserve"/>
      </w:r>
    </w:p>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1. Background and Objectives</w:t>
      </w:r>
    </w:p>
    <w:p>
      <w:pPr>
        <w:pStyle w:val="Heading2"/>
        <w:spacing w:before="280" w:after="140"/>
      </w:pPr>
      <w:r>
        <w:rPr>
          <w:rFonts w:ascii="Arial" w:cs="Arial" w:eastAsia="Arial" w:hAnsi="Arial"/>
          <w:b/>
          <w:bCs/>
          <w:color w:val="1F3864"/>
          <w:sz w:val="24"/>
          <w:szCs w:val="24"/>
        </w:rPr>
        <w:t xml:space="preserve">1.1 Background</w:t>
      </w:r>
    </w:p>
    <w:p>
      <w:pPr>
        <w:spacing w:before="100" w:after="100"/>
      </w:pPr>
      <w:r>
        <w:rPr>
          <w:rFonts w:ascii="Arial" w:cs="Arial" w:eastAsia="Arial" w:hAnsi="Arial"/>
          <w:color w:val="222222"/>
          <w:sz w:val="22"/>
          <w:szCs w:val="22"/>
        </w:rPr>
        <w:t xml:space="preserve">Zenith Payments Pty Ltd is an Australian fintech company providing digital payment processing services to consumers and businesses. In the course of its operations, Zenith engages a number of third-party vendors who provide critical services and have access to sensitive customer and financial data.</w:t>
      </w:r>
    </w:p>
    <w:p>
      <w:r>
        <w:rPr>
          <w:sz w:val="22"/>
          <w:szCs w:val="22"/>
        </w:rPr>
        <w:t xml:space="preserve"/>
      </w:r>
    </w:p>
    <w:p>
      <w:pPr>
        <w:spacing w:before="100" w:after="100"/>
      </w:pPr>
      <w:r>
        <w:rPr>
          <w:rFonts w:ascii="Arial" w:cs="Arial" w:eastAsia="Arial" w:hAnsi="Arial"/>
          <w:color w:val="222222"/>
          <w:sz w:val="22"/>
          <w:szCs w:val="22"/>
        </w:rPr>
        <w:t xml:space="preserve">Recognising that third-party relationships introduce operational, cybersecurity and regulatory risk, the Risk and Compliance function commissioned this assessment to evaluate the risk profile of Zenith's three most critical vendors. The assessment was conducted during March 2026.</w:t>
      </w:r>
    </w:p>
    <w:p>
      <w:r>
        <w:rPr>
          <w:sz w:val="22"/>
          <w:szCs w:val="22"/>
        </w:rPr>
        <w:t xml:space="preserve"/>
      </w:r>
    </w:p>
    <w:p>
      <w:pPr>
        <w:pStyle w:val="Heading2"/>
        <w:spacing w:before="280" w:after="140"/>
      </w:pPr>
      <w:r>
        <w:rPr>
          <w:rFonts w:ascii="Arial" w:cs="Arial" w:eastAsia="Arial" w:hAnsi="Arial"/>
          <w:b/>
          <w:bCs/>
          <w:color w:val="1F3864"/>
          <w:sz w:val="24"/>
          <w:szCs w:val="24"/>
        </w:rPr>
        <w:t xml:space="preserve">1.2 Objectives</w:t>
      </w:r>
    </w:p>
    <w:p>
      <w:pPr>
        <w:spacing w:before="100" w:after="100"/>
      </w:pPr>
      <w:r>
        <w:rPr>
          <w:rFonts w:ascii="Arial" w:cs="Arial" w:eastAsia="Arial" w:hAnsi="Arial"/>
          <w:color w:val="222222"/>
          <w:sz w:val="22"/>
          <w:szCs w:val="22"/>
        </w:rPr>
        <w:t xml:space="preserve">The objectives of this assessment are as follows:</w:t>
      </w:r>
    </w:p>
    <w:p>
      <w:pPr>
        <w:pStyle w:val="ListParagraph"/>
        <w:numPr>
          <w:ilvl w:val="0"/>
          <w:numId w:val="2"/>
        </w:numPr>
        <w:spacing w:before="60" w:after="60"/>
      </w:pPr>
      <w:r>
        <w:rPr>
          <w:rFonts w:ascii="Arial" w:cs="Arial" w:eastAsia="Arial" w:hAnsi="Arial"/>
          <w:sz w:val="22"/>
          <w:szCs w:val="22"/>
        </w:rPr>
        <w:t xml:space="preserve">To identify and evaluate the risks associated with each of Zenith's three critical vendors.</w:t>
      </w:r>
    </w:p>
    <w:p>
      <w:pPr>
        <w:pStyle w:val="ListParagraph"/>
        <w:numPr>
          <w:ilvl w:val="0"/>
          <w:numId w:val="2"/>
        </w:numPr>
        <w:spacing w:before="60" w:after="60"/>
      </w:pPr>
      <w:r>
        <w:rPr>
          <w:rFonts w:ascii="Arial" w:cs="Arial" w:eastAsia="Arial" w:hAnsi="Arial"/>
          <w:sz w:val="22"/>
          <w:szCs w:val="22"/>
        </w:rPr>
        <w:t xml:space="preserve">To assess whether existing controls are adequate given the level of access each vendor has.</w:t>
      </w:r>
    </w:p>
    <w:p>
      <w:pPr>
        <w:pStyle w:val="ListParagraph"/>
        <w:numPr>
          <w:ilvl w:val="0"/>
          <w:numId w:val="2"/>
        </w:numPr>
        <w:spacing w:before="60" w:after="60"/>
      </w:pPr>
      <w:r>
        <w:rPr>
          <w:rFonts w:ascii="Arial" w:cs="Arial" w:eastAsia="Arial" w:hAnsi="Arial"/>
          <w:sz w:val="22"/>
          <w:szCs w:val="22"/>
        </w:rPr>
        <w:t xml:space="preserve">To determine whether Zenith's vendor arrangements are compliant with applicable regulatory requirements.</w:t>
      </w:r>
    </w:p>
    <w:p>
      <w:pPr>
        <w:pStyle w:val="ListParagraph"/>
        <w:numPr>
          <w:ilvl w:val="0"/>
          <w:numId w:val="2"/>
        </w:numPr>
        <w:spacing w:before="60" w:after="60"/>
      </w:pPr>
      <w:r>
        <w:rPr>
          <w:rFonts w:ascii="Arial" w:cs="Arial" w:eastAsia="Arial" w:hAnsi="Arial"/>
          <w:sz w:val="22"/>
          <w:szCs w:val="22"/>
        </w:rPr>
        <w:t xml:space="preserve">To provide prioritised, actionable recommendations to reduce identified risk exposure.</w:t>
      </w:r>
    </w:p>
    <w:p>
      <w:r>
        <w:rPr>
          <w:sz w:val="22"/>
          <w:szCs w:val="22"/>
        </w:rPr>
        <w:t xml:space="preserve"/>
      </w:r>
    </w:p>
    <w:p>
      <w:pPr>
        <w:pStyle w:val="Heading2"/>
        <w:spacing w:before="280" w:after="140"/>
      </w:pPr>
      <w:r>
        <w:rPr>
          <w:rFonts w:ascii="Arial" w:cs="Arial" w:eastAsia="Arial" w:hAnsi="Arial"/>
          <w:b/>
          <w:bCs/>
          <w:color w:val="1F3864"/>
          <w:sz w:val="24"/>
          <w:szCs w:val="24"/>
        </w:rPr>
        <w:t xml:space="preserve">1.3 Scope</w:t>
      </w:r>
    </w:p>
    <w:p>
      <w:pPr>
        <w:spacing w:before="100" w:after="100"/>
      </w:pPr>
      <w:r>
        <w:rPr>
          <w:rFonts w:ascii="Arial" w:cs="Arial" w:eastAsia="Arial" w:hAnsi="Arial"/>
          <w:color w:val="222222"/>
          <w:sz w:val="22"/>
          <w:szCs w:val="22"/>
        </w:rPr>
        <w:t xml:space="preserve">This assessment covers the following vendors, selected on the basis of their criticality to Zenith's operations and their access to sensitive data: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40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VericAsh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Cloud infrastructure and data hosting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 customer records, payment data, system logs</w:t>
            </w:r>
          </w:p>
        </w:tc>
      </w:tr>
      <w:tr>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RedApp</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Payment processing and card transaction management</w:t>
            </w:r>
          </w:p>
        </w:tc>
        <w:tc>
          <w:tcPr>
            <w:tcW w:type="dxa" w:w="40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Full card data, transaction records, merchant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Leo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Outsourced customer support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Customer names, account details, transaction history</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1.4 Methodology</w:t>
      </w:r>
    </w:p>
    <w:p>
      <w:pPr>
        <w:spacing w:before="100" w:after="100"/>
      </w:pPr>
      <w:r>
        <w:rPr>
          <w:rFonts w:ascii="Arial" w:cs="Arial" w:eastAsia="Arial" w:hAnsi="Arial"/>
          <w:color w:val="222222"/>
          <w:sz w:val="22"/>
          <w:szCs w:val="22"/>
        </w:rPr>
        <w:t xml:space="preserve">This assessment was conducted in accordance with ISO 27036 (Information Security for Supplier Relationships) and the NIST Cybersecurity Framework. The methodology included:</w:t>
      </w:r>
    </w:p>
    <w:p>
      <w:pPr>
        <w:pStyle w:val="ListParagraph"/>
        <w:numPr>
          <w:ilvl w:val="0"/>
          <w:numId w:val="3"/>
        </w:numPr>
        <w:spacing w:before="60" w:after="60"/>
      </w:pPr>
      <w:r>
        <w:rPr>
          <w:rFonts w:ascii="Arial" w:cs="Arial" w:eastAsia="Arial" w:hAnsi="Arial"/>
          <w:sz w:val="22"/>
          <w:szCs w:val="22"/>
        </w:rPr>
        <w:t xml:space="preserve">Review of existing vendor contracts and service level agreements</w:t>
      </w:r>
    </w:p>
    <w:p>
      <w:pPr>
        <w:pStyle w:val="ListParagraph"/>
        <w:numPr>
          <w:ilvl w:val="0"/>
          <w:numId w:val="3"/>
        </w:numPr>
        <w:spacing w:before="60" w:after="60"/>
      </w:pPr>
      <w:r>
        <w:rPr>
          <w:rFonts w:ascii="Arial" w:cs="Arial" w:eastAsia="Arial" w:hAnsi="Arial"/>
          <w:sz w:val="22"/>
          <w:szCs w:val="22"/>
        </w:rPr>
        <w:t xml:space="preserve">Assessment of vendor security certifications and compliance documentation</w:t>
      </w:r>
    </w:p>
    <w:p>
      <w:pPr>
        <w:pStyle w:val="ListParagraph"/>
        <w:numPr>
          <w:ilvl w:val="0"/>
          <w:numId w:val="3"/>
        </w:numPr>
        <w:spacing w:before="60" w:after="60"/>
      </w:pPr>
      <w:r>
        <w:rPr>
          <w:rFonts w:ascii="Arial" w:cs="Arial" w:eastAsia="Arial" w:hAnsi="Arial"/>
          <w:sz w:val="22"/>
          <w:szCs w:val="22"/>
        </w:rPr>
        <w:t xml:space="preserve">Identification and scoring of key risks using a 5x5 likelihood and impact matrix</w:t>
      </w:r>
    </w:p>
    <w:p>
      <w:pPr>
        <w:pStyle w:val="ListParagraph"/>
        <w:numPr>
          <w:ilvl w:val="0"/>
          <w:numId w:val="3"/>
        </w:numPr>
        <w:spacing w:before="60" w:after="60"/>
      </w:pPr>
      <w:r>
        <w:rPr>
          <w:rFonts w:ascii="Arial" w:cs="Arial" w:eastAsia="Arial" w:hAnsi="Arial"/>
          <w:sz w:val="22"/>
          <w:szCs w:val="22"/>
        </w:rPr>
        <w:t xml:space="preserve">Evaluation of current controls against identified risks</w:t>
      </w:r>
    </w:p>
    <w:p>
      <w:pPr>
        <w:pStyle w:val="ListParagraph"/>
        <w:numPr>
          <w:ilvl w:val="0"/>
          <w:numId w:val="3"/>
        </w:numPr>
        <w:spacing w:before="60" w:after="60"/>
      </w:pPr>
      <w:r>
        <w:rPr>
          <w:rFonts w:ascii="Arial" w:cs="Arial" w:eastAsia="Arial" w:hAnsi="Arial"/>
          <w:sz w:val="22"/>
          <w:szCs w:val="22"/>
        </w:rPr>
        <w:t xml:space="preserve">Development of risk-rated recommendations and remediation actions</w:t>
      </w:r>
    </w:p>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2. Regulatory and Compliance Context</w:t>
      </w:r>
    </w:p>
    <w:p>
      <w:pPr>
        <w:spacing w:before="100" w:after="100"/>
      </w:pPr>
      <w:r>
        <w:rPr>
          <w:rFonts w:ascii="Arial" w:cs="Arial" w:eastAsia="Arial" w:hAnsi="Arial"/>
          <w:color w:val="222222"/>
          <w:sz w:val="22"/>
          <w:szCs w:val="22"/>
        </w:rPr>
        <w:t xml:space="preserve">Zenith Payments operates within a regulatory environment that places specific obligations on the handling of personal and financial data. The following regulations are directly relevant to this assessment: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Regulation</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Relevance to Vendor Risk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Australian Privacy Act 1988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Requires Zenith to ensure overseas vendors handling personal data provide equivalent protections to those required under Australian law.</w:t>
            </w:r>
          </w:p>
        </w:tc>
      </w:tr>
      <w:tr>
        <w:tc>
          <w:tcPr>
            <w:tcW w:type="dxa" w:w="3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PCI-DSS v4.0</w:t>
            </w:r>
          </w:p>
        </w:tc>
        <w:tc>
          <w:tcPr>
            <w:tcW w:type="dxa" w:w="63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Requires Zenith to ensure vendors processing card data maintain PCI-DSS compliance and that contractual obligations are in place.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Security of Critical Infrastructure Act 2018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Applies to Zenith as a payment services provider and requires robust risk management of critical dependencies.</w:t>
            </w:r>
          </w:p>
        </w:tc>
      </w:tr>
    </w:tbl>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3. Summary of Findings</w:t>
      </w:r>
    </w:p>
    <w:p>
      <w:pPr>
        <w:spacing w:before="100" w:after="100"/>
      </w:pPr>
      <w:r>
        <w:rPr>
          <w:rFonts w:ascii="Arial" w:cs="Arial" w:eastAsia="Arial" w:hAnsi="Arial"/>
          <w:color w:val="222222"/>
          <w:sz w:val="22"/>
          <w:szCs w:val="22"/>
        </w:rPr>
        <w:t xml:space="preserve">The assessment identified significant risk across all three vendors. No vendor was assessed as Low risk. The table below provides a high-level summary of findings.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60"/>
        <w:gridCol w:w="39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16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Rating</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VericAsh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Hosting</w:t>
            </w:r>
          </w:p>
        </w:tc>
        <w:tc>
          <w:tcPr>
            <w:tcW w:type="dxa" w:w="16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point of failure for all Zenith data; no audit conducted; overseas storage not assessed under the Privacy Act.</w:t>
            </w:r>
          </w:p>
        </w:tc>
      </w:tr>
      <w:tr>
        <w:tc>
          <w:tcPr>
            <w:tcW w:type="dxa" w:w="16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RedApp</w:t>
            </w:r>
          </w:p>
        </w:tc>
        <w:tc>
          <w:tcPr>
            <w:tcW w:type="dxa" w:w="2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Processing</w:t>
            </w:r>
          </w:p>
        </w:tc>
        <w:tc>
          <w:tcPr>
            <w:tcW w:type="dxa" w:w="16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39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breach notification obligation in current contract; no backup payment processor in place.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Support</w:t>
            </w:r>
          </w:p>
        </w:tc>
        <w:tc>
          <w:tcPr>
            <w:tcW w:type="dxa" w:w="16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Cross-border data transfer to Philippines not assessed; no security certification held; agent data access is too broad.</w:t>
            </w:r>
          </w:p>
        </w:tc>
      </w:tr>
    </w:tbl>
    <w:p>
      <w:r>
        <w:rPr>
          <w:sz w:val="22"/>
          <w:szCs w:val="22"/>
        </w:rPr>
        <w:t xml:space="preserve"/>
      </w:r>
    </w:p>
    <w:p>
      <w:pPr>
        <w:spacing w:before="100" w:after="100"/>
      </w:pPr>
      <w:r>
        <w:rPr>
          <w:rFonts w:ascii="Arial" w:cs="Arial" w:eastAsia="Arial" w:hAnsi="Arial"/>
          <w:color w:val="222222"/>
          <w:sz w:val="22"/>
          <w:szCs w:val="22"/>
        </w:rPr>
        <w:t xml:space="preserve">The most significant concern identified during this assessment is Zenith's complete dependence on VericAsh as its sole cloud infrastructure provider, with no backup provider, no formal audit history and no cross-border data transfer assessment completed. This represents a concentration risk that requires urgent remediation.</w:t>
      </w:r>
    </w:p>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4. Detailed Findings - VericAsh</w:t>
      </w:r>
    </w:p>
    <w:p>
      <w:pPr>
        <w:pStyle w:val="Heading2"/>
        <w:spacing w:before="280" w:after="140"/>
      </w:pPr>
      <w:r>
        <w:rPr>
          <w:rFonts w:ascii="Arial" w:cs="Arial" w:eastAsia="Arial" w:hAnsi="Arial"/>
          <w:b/>
          <w:bCs/>
          <w:color w:val="1F3864"/>
          <w:sz w:val="24"/>
          <w:szCs w:val="24"/>
        </w:rPr>
        <w:t xml:space="preserve">4.1 Vendor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 Provided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Cloud infrastructure and data hosting</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Data Accessed</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All customer personal data, payment records, transaction history and system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Server Locations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Singapore and United States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Contract in Place</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Basic SLA - terms are minimal and do not address security obligations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Security Certifications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Claims ISO 27001 - not independently verified by Zenith</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Backup Provider</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None</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4.2 Assessment Observations</w:t>
      </w:r>
    </w:p>
    <w:p>
      <w:pPr>
        <w:spacing w:before="100" w:after="100"/>
      </w:pPr>
      <w:r>
        <w:rPr>
          <w:rFonts w:ascii="Arial" w:cs="Arial" w:eastAsia="Arial" w:hAnsi="Arial"/>
          <w:color w:val="222222"/>
          <w:sz w:val="22"/>
          <w:szCs w:val="22"/>
        </w:rPr>
        <w:t xml:space="preserve">VericAsh is the single most critical vendor in Zenith's ecosystem. Every piece of data the company holds - customer records, payment transactions, system logs - resides on VericAsh infrastructure. A service outage or security breach at VericAsh would have an immediate and severe impact on Zenith's ability to operate.</w:t>
      </w:r>
    </w:p>
    <w:p>
      <w:r>
        <w:rPr>
          <w:sz w:val="22"/>
          <w:szCs w:val="22"/>
        </w:rPr>
        <w:t xml:space="preserve"/>
      </w:r>
    </w:p>
    <w:p>
      <w:pPr>
        <w:spacing w:before="100" w:after="100"/>
      </w:pPr>
      <w:r>
        <w:rPr>
          <w:rFonts w:ascii="Arial" w:cs="Arial" w:eastAsia="Arial" w:hAnsi="Arial"/>
          <w:color w:val="222222"/>
          <w:sz w:val="22"/>
          <w:szCs w:val="22"/>
        </w:rPr>
        <w:t xml:space="preserve">Despite this level of criticality, the assessment found that Zenith has never formally audited VericAsh, has not verified their ISO 27001 certification claim, and has no documented exit or continuity plan in the event VericAsh becomes unavailable.</w:t>
      </w:r>
    </w:p>
    <w:p>
      <w:r>
        <w:rPr>
          <w:sz w:val="22"/>
          <w:szCs w:val="22"/>
        </w:rPr>
        <w:t xml:space="preserve"/>
      </w:r>
    </w:p>
    <w:p>
      <w:pPr>
        <w:spacing w:before="100" w:after="100"/>
      </w:pPr>
      <w:r>
        <w:rPr>
          <w:rFonts w:ascii="Arial" w:cs="Arial" w:eastAsia="Arial" w:hAnsi="Arial"/>
          <w:color w:val="222222"/>
          <w:sz w:val="22"/>
          <w:szCs w:val="22"/>
        </w:rPr>
        <w:t xml:space="preserve">A further regulatory concern was identified. VericAsh operates servers in Singapore and the United States. Under the Australian Privacy Act 1988, Zenith is required to take reasonable steps to ensure that overseas recipients of personal data provide protections equivalent to those required under Australian law. No such assessment has been completed for VericAsh. This constitutes a current breach of regulatory obligation.</w:t>
      </w:r>
    </w:p>
    <w:p>
      <w:r>
        <w:rPr>
          <w:sz w:val="22"/>
          <w:szCs w:val="22"/>
        </w:rPr>
        <w:t xml:space="preserve"/>
      </w:r>
    </w:p>
    <w:p>
      <w:pPr>
        <w:pStyle w:val="Heading2"/>
        <w:spacing w:before="280" w:after="140"/>
      </w:pPr>
      <w:r>
        <w:rPr>
          <w:rFonts w:ascii="Arial" w:cs="Arial" w:eastAsia="Arial" w:hAnsi="Arial"/>
          <w:b/>
          <w:bCs/>
          <w:color w:val="1F3864"/>
          <w:sz w:val="24"/>
          <w:szCs w:val="24"/>
        </w:rPr>
        <w:t xml:space="preserve">4.3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500"/>
        <w:gridCol w:w="1360"/>
        <w:gridCol w:w="1500"/>
      </w:tblGrid>
      <w:tr>
        <w:trPr>
          <w:tblHeader/>
        </w:trPr>
        <w:tc>
          <w:tcPr>
            <w:tcW w:type="dxa" w:w="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Potential Impact</w:t>
            </w:r>
          </w:p>
        </w:tc>
        <w:tc>
          <w:tcPr>
            <w:tcW w:type="dxa" w:w="1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Rating</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breach via VericAsh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Zenith customer data exposed; regulatory fines; reputational damage</w:t>
            </w:r>
          </w:p>
        </w:tc>
        <w:tc>
          <w:tcPr>
            <w:tcW w:type="dxa" w:w="1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V1.2</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outage</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loss of payment processing capability</w:t>
            </w:r>
          </w:p>
        </w:tc>
        <w:tc>
          <w:tcPr>
            <w:tcW w:type="dxa" w:w="1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Unassessed overseas data transfer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breach of Privacy Act 1988 obligations</w:t>
            </w:r>
          </w:p>
        </w:tc>
        <w:tc>
          <w:tcPr>
            <w:tcW w:type="dxa" w:w="1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r>
      <w:tr>
        <w:tc>
          <w:tcPr>
            <w:tcW w:type="dxa" w:w="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V1.4</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Unverified ISO 27001 certification</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posture unconfirmed; controls may be inadequate</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exit strategy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Inability to migrate if VericAsh fails or exits the relationship</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4.4 Current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w:t>
            </w:r>
          </w:p>
        </w:tc>
        <w:tc>
          <w:tcPr>
            <w:tcW w:type="dxa" w:w="5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Basic SLA agreement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 place but does not include security obligations or breach notification requirements. Inadequate.</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SSL/TLS encryption in transit</w:t>
            </w:r>
          </w:p>
        </w:tc>
        <w:tc>
          <w:tcPr>
            <w:tcW w:type="dxa" w:w="5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Confirmed in place. Adequate for this control.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Monthly uptime reporting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Received from VericAsh. Adequate for availability monitoring only.</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Independent security audit</w:t>
            </w:r>
          </w:p>
        </w:tc>
        <w:tc>
          <w:tcPr>
            <w:tcW w:type="dxa" w:w="5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Not conducted. Significant gap.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Cross-border data transfer assessment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completed. Regulatory gap.</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4.5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960"/>
        <w:gridCol w:w="20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5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Action</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Commission an independent security audit of VericAsh and verify ISO 27001 certification</w:t>
            </w:r>
          </w:p>
        </w:tc>
        <w:tc>
          <w:tcPr>
            <w:tcW w:type="dxa" w:w="1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R1.2</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a Privacy Act 1988 cross-border data transfer assessment for VericAsh</w:t>
            </w:r>
          </w:p>
        </w:tc>
        <w:tc>
          <w:tcPr>
            <w:tcW w:type="dxa" w:w="1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Identify and onboard a secondary cloud provider to eliminate single point of failure</w:t>
            </w:r>
          </w:p>
        </w:tc>
        <w:tc>
          <w:tcPr>
            <w:tcW w:type="dxa" w:w="1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R1.4</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Renegotiate the SLA to include security requirements and a 24-hour breach notification obligation</w:t>
            </w:r>
          </w:p>
        </w:tc>
        <w:tc>
          <w:tcPr>
            <w:tcW w:type="dxa" w:w="19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 a documented cloud exit strategy and data migration plan</w:t>
            </w:r>
          </w:p>
        </w:tc>
        <w:tc>
          <w:tcPr>
            <w:tcW w:type="dxa" w:w="19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days</w:t>
            </w:r>
          </w:p>
        </w:tc>
      </w:tr>
    </w:tbl>
    <w:p>
      <w:r>
        <w:rPr>
          <w:sz w:val="22"/>
          <w:szCs w:val="22"/>
        </w:rPr>
        <w:t xml:space="preserve"/>
      </w:r>
    </w:p>
    <w:p>
      <w:pPr>
        <w:spacing w:before="200" w:after="100"/>
      </w:pPr>
      <w:r>
        <w:rPr>
          <w:rFonts w:ascii="Arial" w:cs="Arial" w:eastAsia="Arial" w:hAnsi="Arial"/>
          <w:b/>
          <w:bCs/>
          <w:color w:val="C00000"/>
          <w:sz w:val="22"/>
          <w:szCs w:val="22"/>
        </w:rPr>
        <w:t xml:space="preserve">Overall Risk Rating: CRITICAL</w:t>
      </w:r>
    </w:p>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5. Detailed Findings - RedApp</w:t>
      </w:r>
    </w:p>
    <w:p>
      <w:pPr>
        <w:pStyle w:val="Heading2"/>
        <w:spacing w:before="280" w:after="140"/>
      </w:pPr>
      <w:r>
        <w:rPr>
          <w:rFonts w:ascii="Arial" w:cs="Arial" w:eastAsia="Arial" w:hAnsi="Arial"/>
          <w:b/>
          <w:bCs/>
          <w:color w:val="1F3864"/>
          <w:sz w:val="24"/>
          <w:szCs w:val="24"/>
        </w:rPr>
        <w:t xml:space="preserve">5.1 Vendor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 Provided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Payment processing and card transaction management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Data Accessed</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Full payment card data, transaction amounts and merchant 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Server Locations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Australia</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Contract in Place</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Payment Processing Agreement - does not include breach notification obligations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Security Certifications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PCI-DSS Level 1 - independently verified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Backup Provider</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None</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5.2 Assessment Observations</w:t>
      </w:r>
    </w:p>
    <w:p>
      <w:pPr>
        <w:spacing w:before="100" w:after="100"/>
      </w:pPr>
      <w:r>
        <w:rPr>
          <w:rFonts w:ascii="Arial" w:cs="Arial" w:eastAsia="Arial" w:hAnsi="Arial"/>
          <w:color w:val="222222"/>
          <w:sz w:val="22"/>
          <w:szCs w:val="22"/>
        </w:rPr>
        <w:t xml:space="preserve">RedApp processes every card transaction that flows through the Zenith platform. The assessment found that RedApp holds a verified PCI-DSS Level 1 certification, which provides a reasonable level of assurance regarding their security controls for card data. This is a positive finding and distinguishes RedApp from the other vendors assessed.</w:t>
      </w:r>
    </w:p>
    <w:p>
      <w:r>
        <w:rPr>
          <w:sz w:val="22"/>
          <w:szCs w:val="22"/>
        </w:rPr>
        <w:t xml:space="preserve"/>
      </w:r>
    </w:p>
    <w:p>
      <w:pPr>
        <w:spacing w:before="100" w:after="100"/>
      </w:pPr>
      <w:r>
        <w:rPr>
          <w:rFonts w:ascii="Arial" w:cs="Arial" w:eastAsia="Arial" w:hAnsi="Arial"/>
          <w:color w:val="222222"/>
          <w:sz w:val="22"/>
          <w:szCs w:val="22"/>
        </w:rPr>
        <w:t xml:space="preserve">However, the current Payment Processing Agreement does not include a breach notification obligation. In the event of a security incident at RedApp that compromises Zenith customer card data, there is no contractual requirement for RedApp to notify Zenith within any defined timeframe. This is a significant gap given Zenith's own regulatory obligations to notify affected individuals and the OAIC in the event of an eligible data breach.</w:t>
      </w:r>
    </w:p>
    <w:p>
      <w:r>
        <w:rPr>
          <w:sz w:val="22"/>
          <w:szCs w:val="22"/>
        </w:rPr>
        <w:t xml:space="preserve"/>
      </w:r>
    </w:p>
    <w:p>
      <w:pPr>
        <w:spacing w:before="100" w:after="100"/>
      </w:pPr>
      <w:r>
        <w:rPr>
          <w:rFonts w:ascii="Arial" w:cs="Arial" w:eastAsia="Arial" w:hAnsi="Arial"/>
          <w:color w:val="222222"/>
          <w:sz w:val="22"/>
          <w:szCs w:val="22"/>
        </w:rPr>
        <w:t xml:space="preserve">Additionally, Zenith has no backup payment processor. If RedApp experiences a prolonged outage or terminates the agreement, Zenith would have no immediate alternative and would be unable to process payments until a replacement was in place.</w:t>
      </w:r>
    </w:p>
    <w:p>
      <w:r>
        <w:rPr>
          <w:sz w:val="22"/>
          <w:szCs w:val="22"/>
        </w:rPr>
        <w:t xml:space="preserve"/>
      </w:r>
    </w:p>
    <w:p>
      <w:pPr>
        <w:pStyle w:val="Heading2"/>
        <w:spacing w:before="280" w:after="140"/>
      </w:pPr>
      <w:r>
        <w:rPr>
          <w:rFonts w:ascii="Arial" w:cs="Arial" w:eastAsia="Arial" w:hAnsi="Arial"/>
          <w:b/>
          <w:bCs/>
          <w:color w:val="1F3864"/>
          <w:sz w:val="24"/>
          <w:szCs w:val="24"/>
        </w:rPr>
        <w:t xml:space="preserve">5.3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500"/>
        <w:gridCol w:w="1360"/>
        <w:gridCol w:w="1500"/>
      </w:tblGrid>
      <w:tr>
        <w:trPr>
          <w:tblHeader/>
        </w:trPr>
        <w:tc>
          <w:tcPr>
            <w:tcW w:type="dxa" w:w="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Potential Impact</w:t>
            </w:r>
          </w:p>
        </w:tc>
        <w:tc>
          <w:tcPr>
            <w:tcW w:type="dxa" w:w="1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Rating</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Card data breach via RedApp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Zenith customer card data exposed; PCI-DSS and Privacy Act liability</w:t>
            </w:r>
          </w:p>
        </w:tc>
        <w:tc>
          <w:tcPr>
            <w:tcW w:type="dxa" w:w="1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R2.2</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breach notification clause</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Zenith not notified promptly; regulatory breach of NDB scheme obligations</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Payment processing outage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Zenith cannot accept card payments for the duration of the outage</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r>
      <w:tr>
        <w:tc>
          <w:tcPr>
            <w:tcW w:type="dxa" w:w="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R2.4</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PCI-DSS liability</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RedApp audit failure may extend liability to Zenith</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 termination with insufficient notice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Zenith left without a payment processor; operational disruption</w:t>
            </w:r>
          </w:p>
        </w:tc>
        <w:tc>
          <w:tcPr>
            <w:tcW w:type="dxa" w:w="1360"/>
            <w:tcBorders>
              <w:top w:val="single" w:color="CCCCCC" w:sz="1"/>
              <w:left w:val="single" w:color="CCCCCC" w:sz="1"/>
              <w:bottom w:val="single" w:color="CCCCCC" w:sz="1"/>
              <w:right w:val="single" w:color="CCCCCC" w:sz="1"/>
            </w:tcBorders>
            <w:shd w:fill="C09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5.4 Current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w:t>
            </w:r>
          </w:p>
        </w:tc>
        <w:tc>
          <w:tcPr>
            <w:tcW w:type="dxa" w:w="5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PCI-DSS Level 1 certification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Verified and current. This is the strongest control in place with RedApp.</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Payment Processing Agreement</w:t>
            </w:r>
          </w:p>
        </w:tc>
        <w:tc>
          <w:tcPr>
            <w:tcW w:type="dxa" w:w="5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In place but lacks breach notification obligations. Requires updating.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Card tokenisation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Implemented during processing. Limits exposure if data is intercepted.</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Backup payment processor</w:t>
            </w:r>
          </w:p>
        </w:tc>
        <w:tc>
          <w:tcPr>
            <w:tcW w:type="dxa" w:w="5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Not in place. Significant operational gap.</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5.5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960"/>
        <w:gridCol w:w="20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5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Action</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Amend the Payment Processing Agreement to include a 24-hour breach notification obligation</w:t>
            </w:r>
          </w:p>
        </w:tc>
        <w:tc>
          <w:tcPr>
            <w:tcW w:type="dxa" w:w="1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R2.2</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Make annual PCI-DSS audit report submission a contractual requirement</w:t>
            </w:r>
          </w:p>
        </w:tc>
        <w:tc>
          <w:tcPr>
            <w:tcW w:type="dxa" w:w="1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Identify and onboard a backup payment processor</w:t>
            </w:r>
          </w:p>
        </w:tc>
        <w:tc>
          <w:tcPr>
            <w:tcW w:type="dxa" w:w="19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R2.4</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Establish a quarterly fraud detection review process with RedApp</w:t>
            </w:r>
          </w:p>
        </w:tc>
        <w:tc>
          <w:tcPr>
            <w:tcW w:type="dxa" w:w="19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Negotiate a minimum 180-day notice period for contract termination</w:t>
            </w:r>
          </w:p>
        </w:tc>
        <w:tc>
          <w:tcPr>
            <w:tcW w:type="dxa" w:w="1960"/>
            <w:tcBorders>
              <w:top w:val="single" w:color="CCCCCC" w:sz="1"/>
              <w:left w:val="single" w:color="CCCCCC" w:sz="1"/>
              <w:bottom w:val="single" w:color="CCCCCC" w:sz="1"/>
              <w:right w:val="single" w:color="CCCCCC" w:sz="1"/>
            </w:tcBorders>
            <w:shd w:fill="C09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days</w:t>
            </w:r>
          </w:p>
        </w:tc>
      </w:tr>
    </w:tbl>
    <w:p>
      <w:r>
        <w:rPr>
          <w:sz w:val="22"/>
          <w:szCs w:val="22"/>
        </w:rPr>
        <w:t xml:space="preserve"/>
      </w:r>
    </w:p>
    <w:p>
      <w:pPr>
        <w:spacing w:before="200" w:after="100"/>
      </w:pPr>
      <w:r>
        <w:rPr>
          <w:rFonts w:ascii="Arial" w:cs="Arial" w:eastAsia="Arial" w:hAnsi="Arial"/>
          <w:b/>
          <w:bCs/>
          <w:color w:val="E26B0A"/>
          <w:sz w:val="22"/>
          <w:szCs w:val="22"/>
        </w:rPr>
        <w:t xml:space="preserve">Overall Risk Rating: HIGH</w:t>
      </w:r>
    </w:p>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6. Detailed Findings - Leo</w:t>
      </w:r>
    </w:p>
    <w:p>
      <w:pPr>
        <w:pStyle w:val="Heading2"/>
        <w:spacing w:before="280" w:after="140"/>
      </w:pPr>
      <w:r>
        <w:rPr>
          <w:rFonts w:ascii="Arial" w:cs="Arial" w:eastAsia="Arial" w:hAnsi="Arial"/>
          <w:b/>
          <w:bCs/>
          <w:color w:val="1F3864"/>
          <w:sz w:val="24"/>
          <w:szCs w:val="24"/>
        </w:rPr>
        <w:t xml:space="preserve">6.1 Vendor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Service Provided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Outsourced customer support via phone, email and live chat</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Data Accessed</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Customer names, email addresses, account details and transaction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Agent Locations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Philippines</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Contract in Place</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Basic service agreement - no data protection or security obligations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Security Certifications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 held or verified</w:t>
            </w:r>
          </w:p>
        </w:tc>
      </w:tr>
      <w:tr>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Data Access Level</w:t>
            </w:r>
          </w:p>
        </w:tc>
        <w:tc>
          <w:tcPr>
            <w:tcW w:type="dxa" w:w="6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Broader than required for the support function</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6.2 Assessment Observations</w:t>
      </w:r>
    </w:p>
    <w:p>
      <w:pPr>
        <w:spacing w:before="100" w:after="100"/>
      </w:pPr>
      <w:r>
        <w:rPr>
          <w:rFonts w:ascii="Arial" w:cs="Arial" w:eastAsia="Arial" w:hAnsi="Arial"/>
          <w:color w:val="222222"/>
          <w:sz w:val="22"/>
          <w:szCs w:val="22"/>
        </w:rPr>
        <w:t xml:space="preserve">Leo provides frontline customer support on behalf of Zenith, with agents based in the Philippines having direct access to customer account information and transaction history as part of their daily responsibilities. While this access is operationally necessary, the assessment found that it is broader than required and that the controls in place are not proportionate to the risk.</w:t>
      </w:r>
    </w:p>
    <w:p>
      <w:r>
        <w:rPr>
          <w:sz w:val="22"/>
          <w:szCs w:val="22"/>
        </w:rPr>
        <w:t xml:space="preserve"/>
      </w:r>
    </w:p>
    <w:p>
      <w:pPr>
        <w:spacing w:before="100" w:after="100"/>
      </w:pPr>
      <w:r>
        <w:rPr>
          <w:rFonts w:ascii="Arial" w:cs="Arial" w:eastAsia="Arial" w:hAnsi="Arial"/>
          <w:color w:val="222222"/>
          <w:sz w:val="22"/>
          <w:szCs w:val="22"/>
        </w:rPr>
        <w:t xml:space="preserve">Unlike VericAsh and RedApp, Leo holds no security certifications. For a vendor with daily access to personal data belonging to Australian customers, the absence of independently verified security standards is a significant concern.</w:t>
      </w:r>
    </w:p>
    <w:p>
      <w:r>
        <w:rPr>
          <w:sz w:val="22"/>
          <w:szCs w:val="22"/>
        </w:rPr>
        <w:t xml:space="preserve"/>
      </w:r>
    </w:p>
    <w:p>
      <w:pPr>
        <w:spacing w:before="100" w:after="100"/>
      </w:pPr>
      <w:r>
        <w:rPr>
          <w:rFonts w:ascii="Arial" w:cs="Arial" w:eastAsia="Arial" w:hAnsi="Arial"/>
          <w:color w:val="222222"/>
          <w:sz w:val="22"/>
          <w:szCs w:val="22"/>
        </w:rPr>
        <w:t xml:space="preserve">A regulatory gap was also identified. The transfer of Australian customer personal data to Leo agents in the Philippines constitutes a cross-border disclosure under the Australian Privacy Act 1988. Zenith is required to assess whether the Philippines provides adequate protections before making such disclosures. This assessment has not been completed and represents a current regulatory exposure.</w:t>
      </w:r>
    </w:p>
    <w:p>
      <w:r>
        <w:rPr>
          <w:sz w:val="22"/>
          <w:szCs w:val="22"/>
        </w:rPr>
        <w:t xml:space="preserve"/>
      </w:r>
    </w:p>
    <w:p>
      <w:pPr>
        <w:pStyle w:val="Heading2"/>
        <w:spacing w:before="280" w:after="140"/>
      </w:pPr>
      <w:r>
        <w:rPr>
          <w:rFonts w:ascii="Arial" w:cs="Arial" w:eastAsia="Arial" w:hAnsi="Arial"/>
          <w:b/>
          <w:bCs/>
          <w:color w:val="1F3864"/>
          <w:sz w:val="24"/>
          <w:szCs w:val="24"/>
        </w:rPr>
        <w:t xml:space="preserve">6.3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500"/>
        <w:gridCol w:w="1360"/>
        <w:gridCol w:w="1500"/>
      </w:tblGrid>
      <w:tr>
        <w:trPr>
          <w:tblHeader/>
        </w:trPr>
        <w:tc>
          <w:tcPr>
            <w:tcW w:type="dxa" w:w="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Potential Impact</w:t>
            </w:r>
          </w:p>
        </w:tc>
        <w:tc>
          <w:tcPr>
            <w:tcW w:type="dxa" w:w="1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Rating</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Unassessed cross-border data transfer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breach of Privacy Act 1988 cross-border disclosure obligations</w:t>
            </w:r>
          </w:p>
        </w:tc>
        <w:tc>
          <w:tcPr>
            <w:tcW w:type="dxa" w:w="13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r>
      <w:tr>
        <w:tc>
          <w:tcPr>
            <w:tcW w:type="dxa" w:w="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L3.2</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Deliberate data theft by agent</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personal data extracted and sold; reputational and regulatory impact</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Accidental data disclosure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information shared with wrong party; eligible data breach under NDB scheme</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r>
        <w:tc>
          <w:tcPr>
            <w:tcW w:type="dxa" w:w="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L3.4</w:t>
            </w:r>
          </w:p>
        </w:tc>
        <w:tc>
          <w:tcPr>
            <w:tcW w:type="dxa" w:w="2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security certification</w:t>
            </w:r>
          </w:p>
        </w:tc>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independent assurance that Leo meets minimum security requirements</w:t>
            </w:r>
          </w:p>
        </w:tc>
        <w:tc>
          <w:tcPr>
            <w:tcW w:type="dxa" w:w="13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Social engineering of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deceived by fraudster; unauthorised account access granted</w:t>
            </w:r>
          </w:p>
        </w:tc>
        <w:tc>
          <w:tcPr>
            <w:tcW w:type="dxa" w:w="1360"/>
            <w:tcBorders>
              <w:top w:val="single" w:color="CCCCCC" w:sz="1"/>
              <w:left w:val="single" w:color="CCCCCC" w:sz="1"/>
              <w:bottom w:val="single" w:color="CCCCCC" w:sz="1"/>
              <w:right w:val="single" w:color="CCCCCC" w:sz="1"/>
            </w:tcBorders>
            <w:shd w:fill="C09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6.4 Current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Control</w:t>
            </w:r>
          </w:p>
        </w:tc>
        <w:tc>
          <w:tcPr>
            <w:tcW w:type="dxa" w:w="5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Basic service agreement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 place but does not address data protection, security obligations or breach notification. Inadequate.</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Secure agent login portal</w:t>
            </w:r>
          </w:p>
        </w:tc>
        <w:tc>
          <w:tcPr>
            <w:tcW w:type="dxa" w:w="5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Agents access Zenith systems via secure login. Adequate baseline control.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Call recordings for QA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Retained for quality assurance. Useful but not a security control.</w:t>
            </w:r>
          </w:p>
        </w:tc>
      </w:tr>
      <w:tr>
        <w:tc>
          <w:tcPr>
            <w:tcW w:type="dxa" w:w="35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Cross-border data transfer assessment</w:t>
            </w:r>
          </w:p>
        </w:tc>
        <w:tc>
          <w:tcPr>
            <w:tcW w:type="dxa" w:w="58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r>
              <w:rPr>
                <w:rFonts w:ascii="Arial" w:cs="Arial" w:eastAsia="Arial" w:hAnsi="Arial"/>
                <w:sz w:val="20"/>
                <w:szCs w:val="20"/>
              </w:rPr>
              <w:t xml:space="preserve">Not completed. Regulatory gap.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Security certification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 Significant gap for a vendor with daily access to personal data.</w:t>
            </w:r>
          </w:p>
        </w:tc>
      </w:tr>
    </w:tbl>
    <w:p>
      <w:r>
        <w:rPr>
          <w:sz w:val="22"/>
          <w:szCs w:val="22"/>
        </w:rPr>
        <w:t xml:space="preserve"/>
      </w:r>
    </w:p>
    <w:p>
      <w:pPr>
        <w:pStyle w:val="Heading2"/>
        <w:spacing w:before="280" w:after="140"/>
      </w:pPr>
      <w:r>
        <w:rPr>
          <w:rFonts w:ascii="Arial" w:cs="Arial" w:eastAsia="Arial" w:hAnsi="Arial"/>
          <w:b/>
          <w:bCs/>
          <w:color w:val="1F3864"/>
          <w:sz w:val="24"/>
          <w:szCs w:val="24"/>
        </w:rPr>
        <w:t xml:space="preserve">6.5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960"/>
        <w:gridCol w:w="20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5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Action</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a Privacy Act 1988 cross-border data transfer assessment for Leo immediately</w:t>
            </w:r>
          </w:p>
        </w:tc>
        <w:tc>
          <w:tcPr>
            <w:tcW w:type="dxa" w:w="1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R3.2</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Restrict Leo agent data access to the minimum required - remove visibility of payment card details</w:t>
            </w:r>
          </w:p>
        </w:tc>
        <w:tc>
          <w:tcPr>
            <w:tcW w:type="dxa" w:w="19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 Leo to obtain ISO 27001 or equivalent certification as a contract condition within 12 months</w:t>
            </w:r>
          </w:p>
        </w:tc>
        <w:tc>
          <w:tcPr>
            <w:tcW w:type="dxa" w:w="19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months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R3.4</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a customer identity verification step before agents can access any account details</w:t>
            </w:r>
          </w:p>
        </w:tc>
        <w:tc>
          <w:tcPr>
            <w:tcW w:type="dxa" w:w="19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Make annual security awareness training mandatory for all Leo agents handling Zenith data</w:t>
            </w:r>
          </w:p>
        </w:tc>
        <w:tc>
          <w:tcPr>
            <w:tcW w:type="dxa" w:w="19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R3.6</w:t>
            </w:r>
          </w:p>
        </w:tc>
        <w:tc>
          <w:tcPr>
            <w:tcW w:type="dxa" w:w="5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Include a right-to-audit clause in the Leo contract at next renewal</w:t>
            </w:r>
          </w:p>
        </w:tc>
        <w:tc>
          <w:tcPr>
            <w:tcW w:type="dxa" w:w="1960"/>
            <w:tcBorders>
              <w:top w:val="single" w:color="CCCCCC" w:sz="1"/>
              <w:left w:val="single" w:color="CCCCCC" w:sz="1"/>
              <w:bottom w:val="single" w:color="CCCCCC" w:sz="1"/>
              <w:right w:val="single" w:color="CCCCCC" w:sz="1"/>
            </w:tcBorders>
            <w:shd w:fill="C09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0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 renewal</w:t>
            </w:r>
          </w:p>
        </w:tc>
      </w:tr>
    </w:tbl>
    <w:p>
      <w:r>
        <w:rPr>
          <w:sz w:val="22"/>
          <w:szCs w:val="22"/>
        </w:rPr>
        <w:t xml:space="preserve"/>
      </w:r>
    </w:p>
    <w:p>
      <w:pPr>
        <w:spacing w:before="200" w:after="100"/>
      </w:pPr>
      <w:r>
        <w:rPr>
          <w:rFonts w:ascii="Arial" w:cs="Arial" w:eastAsia="Arial" w:hAnsi="Arial"/>
          <w:b/>
          <w:bCs/>
          <w:color w:val="E26B0A"/>
          <w:sz w:val="22"/>
          <w:szCs w:val="22"/>
        </w:rPr>
        <w:t xml:space="preserve">Overall Risk Rating: HIGH</w:t>
      </w:r>
    </w:p>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7. Consolidated Recommendations</w:t>
      </w:r>
    </w:p>
    <w:p>
      <w:pPr>
        <w:spacing w:before="100" w:after="100"/>
      </w:pPr>
      <w:r>
        <w:rPr>
          <w:rFonts w:ascii="Arial" w:cs="Arial" w:eastAsia="Arial" w:hAnsi="Arial"/>
          <w:color w:val="222222"/>
          <w:sz w:val="22"/>
          <w:szCs w:val="22"/>
        </w:rPr>
        <w:t xml:space="preserve">The following table consolidates all recommendations from this assessment, ranked by priority.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4200"/>
        <w:gridCol w:w="1760"/>
        <w:gridCol w:w="18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4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Action</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VericAsh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Commission independent security audit and verify ISO 27001 certification</w:t>
            </w:r>
          </w:p>
        </w:tc>
        <w:tc>
          <w:tcPr>
            <w:tcW w:type="dxa" w:w="1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R1.2</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VericAsh</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Privacy Act cross-border data transfer assessment</w:t>
            </w:r>
          </w:p>
        </w:tc>
        <w:tc>
          <w:tcPr>
            <w:tcW w:type="dxa" w:w="1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Privacy Act cross-border data transfer assessment</w:t>
            </w:r>
          </w:p>
        </w:tc>
        <w:tc>
          <w:tcPr>
            <w:tcW w:type="dxa" w:w="1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R3.2</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Leo</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Restrict agent data access to minimum required</w:t>
            </w:r>
          </w:p>
        </w:tc>
        <w:tc>
          <w:tcPr>
            <w:tcW w:type="dxa" w:w="1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RedApp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24-hour breach notification obligation to contract</w:t>
            </w:r>
          </w:p>
        </w:tc>
        <w:tc>
          <w:tcPr>
            <w:tcW w:type="dxa" w:w="17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Immediate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R1.3</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VericAsh</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Identify and onboard a secondary cloud provider</w:t>
            </w:r>
          </w:p>
        </w:tc>
        <w:tc>
          <w:tcPr>
            <w:tcW w:type="dxa" w:w="17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VericAsh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Renegotiate SLA to include security and breach notification requirements</w:t>
            </w:r>
          </w:p>
        </w:tc>
        <w:tc>
          <w:tcPr>
            <w:tcW w:type="dxa" w:w="17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R2.2</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RedApp</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Make annual PCI-DSS audit report submission a contractual requirement</w:t>
            </w:r>
          </w:p>
        </w:tc>
        <w:tc>
          <w:tcPr>
            <w:tcW w:type="dxa" w:w="17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RedApp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Identify and onboard a backup payment processor</w:t>
            </w:r>
          </w:p>
        </w:tc>
        <w:tc>
          <w:tcPr>
            <w:tcW w:type="dxa" w:w="17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days</w:t>
            </w:r>
          </w:p>
        </w:tc>
      </w:tr>
      <w:tr>
        <w:tc>
          <w:tcPr>
            <w:tcW w:type="dxa" w:w="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R3.3</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Leo</w:t>
            </w:r>
          </w:p>
        </w:tc>
        <w:tc>
          <w:tcPr>
            <w:tcW w:type="dxa" w:w="4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 ISO 27001 certification as a contract condition</w:t>
            </w:r>
          </w:p>
        </w:tc>
        <w:tc>
          <w:tcPr>
            <w:tcW w:type="dxa" w:w="17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months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customer identity verification before account access</w:t>
            </w:r>
          </w:p>
        </w:tc>
        <w:tc>
          <w:tcPr>
            <w:tcW w:type="dxa" w:w="1760"/>
            <w:tcBorders>
              <w:top w:val="single" w:color="CCCCCC" w:sz="1"/>
              <w:left w:val="single" w:color="CCCCCC" w:sz="1"/>
              <w:bottom w:val="single" w:color="CCCCCC" w:sz="1"/>
              <w:right w:val="single" w:color="CCCCCC"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bl>
    <w:p>
      <w:r>
        <w:rPr>
          <w:sz w:val="22"/>
          <w:szCs w:val="22"/>
        </w:rPr>
        <w:t xml:space="preserve"/>
      </w:r>
    </w:p>
    <w:p>
      <w:pPr>
        <w:pStyle w:val="Heading1"/>
        <w:pBdr>
          <w:bottom w:val="single" w:color="1F3864" w:sz="4" w:space="4"/>
        </w:pBdr>
        <w:spacing w:before="360" w:after="180"/>
      </w:pPr>
      <w:r>
        <w:rPr>
          <w:rFonts w:ascii="Arial" w:cs="Arial" w:eastAsia="Arial" w:hAnsi="Arial"/>
          <w:b/>
          <w:bCs/>
          <w:color w:val="1F3864"/>
          <w:sz w:val="28"/>
          <w:szCs w:val="28"/>
        </w:rPr>
        <w:t xml:space="preserve">8. Conclusion</w:t>
      </w:r>
    </w:p>
    <w:p>
      <w:pPr>
        <w:spacing w:before="100" w:after="100"/>
      </w:pPr>
      <w:r>
        <w:rPr>
          <w:rFonts w:ascii="Arial" w:cs="Arial" w:eastAsia="Arial" w:hAnsi="Arial"/>
          <w:color w:val="222222"/>
          <w:sz w:val="22"/>
          <w:szCs w:val="22"/>
        </w:rPr>
        <w:t xml:space="preserve">This assessment has identified material risk across all three of Zenith's critical vendors. The findings reflect a vendor risk management program that is still in its early stages. Contracts are insufficient, due diligence has not been completed in key areas, and the company has significant concentration risk arising from its dependence on single providers for critical functions.</w:t>
      </w:r>
    </w:p>
    <w:p>
      <w:r>
        <w:rPr>
          <w:sz w:val="22"/>
          <w:szCs w:val="22"/>
        </w:rPr>
        <w:t xml:space="preserve"/>
      </w:r>
    </w:p>
    <w:p>
      <w:pPr>
        <w:spacing w:before="100" w:after="100"/>
      </w:pPr>
      <w:r>
        <w:rPr>
          <w:rFonts w:ascii="Arial" w:cs="Arial" w:eastAsia="Arial" w:hAnsi="Arial"/>
          <w:color w:val="222222"/>
          <w:sz w:val="22"/>
          <w:szCs w:val="22"/>
        </w:rPr>
        <w:t xml:space="preserve">The most urgent matter is the regulatory position. Zenith is currently transferring personal data to VericAsh in Singapore and the United States, and to Leo in the Philippines, without having completed the assessments required under the Australian Privacy Act 1988. This should be treated as a priority and addressed before any other action.</w:t>
      </w:r>
    </w:p>
    <w:p>
      <w:r>
        <w:rPr>
          <w:sz w:val="22"/>
          <w:szCs w:val="22"/>
        </w:rPr>
        <w:t xml:space="preserve"/>
      </w:r>
    </w:p>
    <w:p>
      <w:pPr>
        <w:spacing w:before="100" w:after="100"/>
      </w:pPr>
      <w:r>
        <w:rPr>
          <w:rFonts w:ascii="Arial" w:cs="Arial" w:eastAsia="Arial" w:hAnsi="Arial"/>
          <w:color w:val="222222"/>
          <w:sz w:val="22"/>
          <w:szCs w:val="22"/>
        </w:rPr>
        <w:t xml:space="preserve">Beyond the immediate actions, this assessment recommends that Zenith invest in developing a formal Vendor Risk Management framework. This would include a standard due diligence process for onboarding new vendors, annual risk reviews for critical vendors, and minimum contractual standards covering security obligations, breach notification and the right to audit.</w:t>
      </w:r>
    </w:p>
    <w:p>
      <w:r>
        <w:rPr>
          <w:sz w:val="22"/>
          <w:szCs w:val="22"/>
        </w:rPr>
        <w:t xml:space="preserve"/>
      </w:r>
    </w:p>
    <w:p>
      <w:pPr>
        <w:spacing w:before="100" w:after="100"/>
      </w:pPr>
      <w:r>
        <w:rPr>
          <w:rFonts w:ascii="Arial" w:cs="Arial" w:eastAsia="Arial" w:hAnsi="Arial"/>
          <w:color w:val="222222"/>
          <w:sz w:val="22"/>
          <w:szCs w:val="22"/>
        </w:rPr>
        <w:t xml:space="preserve">The risks identified in this report are manageable. With focused effort over the next 90 days, Zenith can substantially reduce its vendor risk exposure and establish a stronger foundation for ongoing third-party risk management.</w:t>
      </w:r>
    </w:p>
    <w:p>
      <w:r>
        <w:rPr>
          <w:sz w:val="22"/>
          <w:szCs w:val="22"/>
        </w:rPr>
        <w:t xml:space="preserve"/>
      </w:r>
    </w:p>
    <w:p>
      <w:pPr>
        <w:pBdr>
          <w:top w:val="single" w:color="1F3864" w:sz="6" w:space="4"/>
        </w:pBdr>
        <w:spacing w:before="400" w:after="80"/>
      </w:pPr>
      <w:r>
        <w:rPr>
          <w:rFonts w:ascii="Arial" w:cs="Arial" w:eastAsia="Arial" w:hAnsi="Arial"/>
          <w:i/>
          <w:iCs/>
          <w:color w:val="888888"/>
          <w:sz w:val="18"/>
          <w:szCs w:val="18"/>
        </w:rPr>
        <w:t xml:space="preserve">Report prepared by Sandra Uneze, GRC Analyst   |   Zenith Payments Pty Ltd (Fictional Organisation)   |   March 2026</w:t>
      </w:r>
    </w:p>
    <w:p>
      <w:r>
        <w:rPr>
          <w:rFonts w:ascii="Arial" w:cs="Arial" w:eastAsia="Arial" w:hAnsi="Arial"/>
          <w:i/>
          <w:iCs/>
          <w:color w:val="888888"/>
          <w:sz w:val="18"/>
          <w:szCs w:val="18"/>
        </w:rPr>
        <w:t xml:space="preserve">This report was produced as part of a GRC portfolio project applying ISO 27036 and NIST CSF principles to third-party vendor risk management.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pPr>
    <w:r>
      <w:rPr>
        <w:rFonts w:ascii="Arial" w:cs="Arial" w:eastAsia="Arial" w:hAnsi="Arial"/>
        <w:color w:val="888888"/>
        <w:sz w:val="18"/>
        <w:szCs w:val="18"/>
      </w:rPr>
      <w:t xml:space="preserve">Prepared by: Sandra Uneze, GRC Analyst   |   March 2026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1F3864"/>
        <w:sz w:val="18"/>
        <w:szCs w:val="18"/>
      </w:rPr>
      <w:t xml:space="preserve">STRICTLY CONFIDENTIAL   |   Zenith Payments Pty Ltd   |   Vendor Risk Management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2026-03-22T04:06:48.816Z</dcterms:created>
  <dcterms:modified xsi:type="dcterms:W3CDTF">2026-03-22T04:06:48.817Z</dcterms:modified>
</cp:coreProperties>
</file>

<file path=docProps/custom.xml><?xml version="1.0" encoding="utf-8"?>
<Properties xmlns="http://schemas.openxmlformats.org/officeDocument/2006/custom-properties" xmlns:vt="http://schemas.openxmlformats.org/officeDocument/2006/docPropsVTypes"/>
</file>