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da dose de sêmen reflete as provas genéticas dos catálogos. O objetivo geral foi analisar a relação entre as Diferenças Esperadas na Progênie (DEPs), os selos comerciais e as linhagens e o preço da dose de sêmen convencional de touros Nelore. Os objetivos específicos foram ranquear esses atributos pelo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t>
      </w:r>
      <w:r>
        <w:rPr>
          <w:rFonts w:ascii="Times New Roman" w:hAnsi="Times New Roman" w:cs="Times New Roman" w:eastAsia="Times New Roman"/>
          <w:i/>
          <w:sz w:val="24"/>
        </w:rPr>
        <w:t xml:space="preserve">web scraping</w:t>
      </w:r>
      <w:r>
        <w:rPr>
          <w:rFonts w:ascii="Times New Roman" w:hAnsi="Times New Roman" w:cs="Times New Roman" w:eastAsia="Times New Roman"/>
          <w:sz w:val="24"/>
        </w:rPr>
        <w:t xml:space="preserve"> do catálogo da CRV Lagoa em setembro de 2026: 115 touros com avaliação genética da ANCP e preço válido. O quadro teórico baseou-se na Teoria dos Preços Hedônicos (ROSEN, 1974) e no algoritmo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(BREIMAN, 2001). A análise combinou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regressões hedônicas com erros-padrão robustos, critério de Akaike e validação cruzada. As 18 DEPs explicaram pouco do preço; a única significativa na regressão conjunta, o consumo alimentar residual, perdeu significância na forma linear diante dos selos, mas o ágio dos 3% melhores touros nessa característica persistiu. No modelo final (R² = 28,6% na amostra), foram significativos o selo de fertilidade (+R$ 5,21) e, no limite da significância, o de habilidade materna (+R$ 2,32), e nenhuma linhagem apresentou efeito robusto; fora da amostra, com a seleção das variáveis refeita em cada partição da validação cruzada, os modelos não superaram a média do preço. Conclui-se que a sinalização comercial pesa mais que as provas genéticas no preço do sêmen.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w:t>
      </w:r>
      <w:r>
        <w:rPr>
          <w:rFonts w:ascii="Times New Roman" w:cs="Times New Roman" w:eastAsia="Times New Roman" w:hAnsi="Times New Roman"/>
          <w:b w:val="0"/>
          <w:bCs w:val="0"/>
          <w:i/>
          <w:iCs w:val="0"/>
          <w:smallCaps w:val="0"/>
          <w:strike w:val="0"/>
          <w:color w:val="000000"/>
          <w:sz w:val="24"/>
          <w:szCs w:val="24"/>
          <w:u w:val="none"/>
          <w:shd w:fill="auto" w:val="clear"/>
          <w:vertAlign w:val="baseline"/>
          <w:rtl w:val="0"/>
        </w:rPr>
        <w:t xml:space="preserve">Random Forest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objetivo deste estudo foi aplicar técnicas de ciência de dados, combinando o algoritmo de aprendizado de máquina </w:t>
      </w:r>
      <w:r>
        <w:rPr>
          <w:rFonts w:ascii="Times New Roman" w:cs="Times New Roman" w:eastAsia="Times New Roman" w:hAnsi="Times New Roman"/>
          <w:b w:val="0"/>
          <w:bCs w:val="0"/>
          <w:i/>
          <w:iCs w:val="0"/>
          <w:smallCaps w:val="0"/>
          <w:strike w:val="0"/>
          <w:color w:val="000000"/>
          <w:sz w:val="24"/>
          <w:szCs w:val="24"/>
          <w:u w:val="none"/>
          <w:shd w:fill="auto" w:val="clear"/>
          <w:vertAlign w:val="baseline"/>
          <w:rtl w:val="0"/>
        </w:rPr>
        <w:t xml:space="preserve">Random Forest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Os dados utilizados neste estudo foram extraídos do catálogo comercial digital de reprodutores da raça Nelore disponibilizado pela central de inseminação artificial CRV Lagoa (Sertãozinho, SP). A coleta automatizada dos dados (</w:t>
      </w:r>
      <w:r>
        <w:rPr>
          <w:rFonts w:ascii="Times New Roman" w:hAnsi="Times New Roman" w:cs="Times New Roman" w:eastAsia="Times New Roman"/>
          <w:i/>
          <w:sz w:val="24"/>
          <w:lang w:val="pt-BR"/>
        </w:rPr>
        <w:t xml:space="preserve">web scraping</w:t>
      </w:r>
      <w:r>
        <w:rPr>
          <w:rFonts w:ascii="Times New Roman" w:hAnsi="Times New Roman" w:cs="Times New Roman" w:eastAsia="Times New Roman"/>
          <w:sz w:val="24"/>
          <w:lang w:val="pt-BR"/>
        </w:rPr>
        <w:t xml:space="preserve">)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Pr>
          <w:rFonts w:ascii="Times New Roman" w:hAnsi="Times New Roman" w:cs="Times New Roman" w:eastAsia="Times New Roman"/>
          <w:sz w:val="24"/>
          <w:lang w:val="pt-BR"/>
        </w:rPr>
        <w:t xml:space="preserve">P é vetor dos preços das doses de sêmen convencional dos touros em reais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Pr>
          <w:rFonts w:ascii="Times New Roman" w:hAnsi="Times New Roman" w:cs="Times New Roman" w:eastAsia="Times New Roman"/>
          <w:sz w:val="24"/>
          <w:szCs w:val="28"/>
          <w:lang w:val="pt-BR"/>
        </w:rPr>
        <w:t xml:space="preserve"> </w:t>
      </w:r>
      <w:r>
        <w:rPr>
          <w:rFonts w:ascii="Times New Roman" w:hAnsi="Times New Roman" w:cs="Times New Roman" w:eastAsia="Times New Roman"/>
          <w:sz w:val="24"/>
          <w:lang w:val="pt-BR"/>
        </w:rPr>
        <w:t xml:space="preserve">é a matriz dos valores de ranque das DEP dos touros para as 18 características consideradas no estudo, expressos em percentis (%).</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Pr>
          <w:rFonts w:ascii="Times New Roman" w:hAnsi="Times New Roman" w:cs="Times New Roman" w:eastAsia="Times New Roman"/>
          <w:sz w:val="24"/>
          <w:lang w:val="pt-BR"/>
        </w:rPr>
        <w:t xml:space="preserve"> é a matriz de incidência dos touros para os 6 selos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Pr>
          <w:rFonts w:ascii="Times New Roman" w:hAnsi="Times New Roman" w:cs="Times New Roman" w:eastAsia="Times New Roman"/>
          <w:sz w:val="24"/>
          <w:szCs w:val="28"/>
          <w:lang w:val="pt-BR"/>
        </w:rPr>
        <w:t xml:space="preserve"> </w:t>
      </w:r>
      <w:r>
        <w:rPr>
          <w:rFonts w:ascii="Times New Roman" w:hAnsi="Times New Roman" w:cs="Times New Roman" w:eastAsia="Times New Roman"/>
          <w:sz w:val="24"/>
          <w:lang w:val="pt-BR"/>
        </w:rPr>
        <w:t xml:space="preserve">é a matriz de incidência dos touros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w:t>
      </w:r>
      <w:r>
        <w:rPr>
          <w:rFonts w:ascii="Times New Roman" w:hAnsi="Times New Roman" w:cs="Times New Roman" w:eastAsia="Times New Roman"/>
          <w:i/>
          <w:sz w:val="24"/>
          <w:lang w:val="pt-BR"/>
        </w:rPr>
        <w:t xml:space="preserve">stayability</w:t>
      </w:r>
      <w:r>
        <w:rPr>
          <w:rFonts w:ascii="Times New Roman" w:hAnsi="Times New Roman" w:cs="Times New Roman" w:eastAsia="Times New Roman"/>
          <w:sz w:val="24"/>
          <w:lang w:val="pt-BR"/>
        </w:rPr>
        <w:t xml:space="preserve">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lastRenderedPageBreak/>
        <w:t xml:space="preserve">O uso do ranking percentil (TOP %)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foram empregados selos de certificação concedidos pela central e programas parceiros à medida que os touros possuíam o respectivo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SELO_IFERT, que certificava os touros como superiores para o Índice de Fertilidade.</w:t>
      </w:r>
    </w:p>
    <w:p w14:paraId="26ECF8B0" w14:textId="50189819"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SELO_MATERNAL, que certificava quanto a aptidão para produção de fêmeas de reposição.</w:t>
      </w:r>
    </w:p>
    <w:p w14:paraId="03085321" w14:textId="77777777" w:rsidR="0034511D" w:rsidRPr="00030586" w:rsidRDefault="00C139A9"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SELO_CAR, que certificava quanto a eficiência alimentar por meio do critério do Consumo Alimentar Residual.</w:t>
      </w:r>
    </w:p>
    <w:p w14:paraId="025AA040" w14:textId="77777777"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Aplicou-se o algoritmo supervisionado </w:t>
      </w:r>
      <w:r>
        <w:rPr>
          <w:rFonts w:ascii="Times New Roman" w:hAnsi="Times New Roman" w:cs="Times New Roman" w:eastAsia="Times New Roman"/>
          <w:i/>
          <w:sz w:val="24"/>
          <w:lang w:val="pt-BR"/>
        </w:rPr>
        <w:t xml:space="preserve">Random Forest Regressor</w:t>
      </w:r>
      <w:r>
        <w:rPr>
          <w:rFonts w:ascii="Times New Roman" w:hAnsi="Times New Roman" w:cs="Times New Roman" w:eastAsia="Times New Roman"/>
          <w:sz w:val="24"/>
          <w:lang w:val="pt-BR"/>
        </w:rPr>
        <w:t xml:space="preserve"> (BREIMAN, 2001), um conjunto de árvores de decisão em que cada árvore é ajustada a uma amostra </w:t>
      </w:r>
      <w:r>
        <w:rPr>
          <w:rFonts w:ascii="Times New Roman" w:hAnsi="Times New Roman" w:cs="Times New Roman" w:eastAsia="Times New Roman"/>
          <w:i/>
          <w:sz w:val="24"/>
          <w:lang w:val="pt-BR"/>
        </w:rPr>
        <w:t xml:space="preserve">bootstrap</w:t>
      </w:r>
      <w:r>
        <w:rPr>
          <w:rFonts w:ascii="Times New Roman" w:hAnsi="Times New Roman" w:cs="Times New Roman" w:eastAsia="Times New Roman"/>
          <w:sz w:val="24"/>
          <w:lang w:val="pt-BR"/>
        </w:rPr>
        <w:t xml:space="preserve">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importância relativa de cada variável na determinação do preço da dose foi mensurada via decréscimo médio de impureza (</w:t>
      </w:r>
      <w:r>
        <w:rPr>
          <w:rFonts w:ascii="Times New Roman" w:hAnsi="Times New Roman" w:cs="Times New Roman" w:eastAsia="Times New Roman"/>
          <w:i/>
          <w:sz w:val="24"/>
          <w:lang w:val="pt-BR"/>
        </w:rPr>
        <w:t xml:space="preserve">Mean Decrease in Impurity</w:t>
      </w:r>
      <w:r>
        <w:rPr>
          <w:rFonts w:ascii="Times New Roman" w:hAnsi="Times New Roman" w:cs="Times New Roman" w:eastAsia="Times New Roman"/>
          <w:sz w:val="24"/>
          <w:lang w:val="pt-BR"/>
        </w:rPr>
        <w:t xml:space="preserve">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w:t>
      </w:r>
      <w:r>
        <w:rPr>
          <w:rFonts w:ascii="Times New Roman" w:hAnsi="Times New Roman" w:cs="Times New Roman" w:eastAsia="Times New Roman"/>
          <w:i/>
          <w:sz w:val="24"/>
          <w:lang w:val="pt-BR"/>
        </w:rPr>
        <w:t xml:space="preserve">out-of-bag</w:t>
      </w:r>
      <w:r>
        <w:rPr>
          <w:rFonts w:ascii="Times New Roman" w:hAnsi="Times New Roman" w:cs="Times New Roman" w:eastAsia="Times New Roman"/>
          <w:sz w:val="24"/>
          <w:lang w:val="pt-BR"/>
        </w:rPr>
        <w:t xml:space="preserve">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em que cada touro é previsto apenas pelas árvores que não o utilizaram no treinamento (BREIMAN, 2001), e por validação cruzada com cinco partições repetida dez vezes, comparando 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das três dimensões (18 DEPs, 6 selos e 7 linhagens), o modelo hedônico final e sua especificação com o CAR como indicador de Super Elite, um modelo de regressão com as mesmas variáveis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ascii="Times New Roman" w:hAnsi="Times New Roman" w:cs="Times New Roman" w:eastAsia="Times New Roman"/>
          <w:sz w:val="24"/>
          <w:lang w:val="pt-BR"/>
        </w:rPr>
        <w:t xml:space="preserve"> 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Pr>
          <w:rFonts w:ascii="Times New Roman" w:hAnsi="Times New Roman" w:cs="Times New Roman" w:eastAsia="Times New Roman"/>
          <w:sz w:val="24"/>
          <w:lang w:val="pt-BR"/>
        </w:rPr>
        <w:t xml:space="preserve"> é o intercepto (preço 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w:t>
      </w:r>
      <w:r>
        <w:rPr>
          <w:rFonts w:ascii="Times New Roman" w:hAnsi="Times New Roman" w:cs="Times New Roman" w:eastAsia="Times New Roman"/>
          <w:i/>
          <w:sz w:val="24"/>
          <w:lang w:val="pt-BR"/>
        </w:rPr>
        <w:t xml:space="preserve">overfitting</w:t>
      </w:r>
      <w:r>
        <w:rPr>
          <w:rFonts w:ascii="Times New Roman" w:hAnsi="Times New Roman" w:cs="Times New Roman" w:eastAsia="Times New Roman"/>
          <w:sz w:val="24"/>
          <w:lang w:val="pt-BR"/>
        </w:rPr>
        <w:t xml:space="preserve">),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Teste F de Significância Global: Avaliação da hipótese nula de que todos os coeficientes angulares são conjuntamente nulos (p&lt;0,05). Nos modelos com erros-padrão robustos, o teste global corresponde ao teste de Wald com a matriz de covariância HC3.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1.</w:t>
      </w:r>
      <w:r>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20,96</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As 6 DEPs da ANCP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 xml:space="preserve">Preço TOP (R$)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10,1</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lang w:val="pt-BR"/>
        </w:rPr>
        <w:t xml:space="preserve">CAR = Consumo Alimentar Residual, STAY = Probabilidade de permanência no rebanho (</w:t>
      </w:r>
      <w:r>
        <w:rPr>
          <w:rFonts w:ascii="Times New Roman" w:hAnsi="Times New Roman" w:cs="Times New Roman" w:eastAsia="Times New Roman"/>
          <w:i/>
          <w:sz w:val="20"/>
          <w:lang w:val="pt-BR"/>
        </w:rPr>
        <w:t xml:space="preserve">stayability</w:t>
      </w:r>
      <w:r>
        <w:rPr>
          <w:rFonts w:ascii="Times New Roman" w:hAnsi="Times New Roman" w:cs="Times New Roman" w:eastAsia="Times New Roman"/>
          <w:sz w:val="20"/>
          <w:lang w:val="pt-BR"/>
        </w:rPr>
        <w:t xml:space="preserve">),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44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5760000" cy="4480000"/>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8"/>
                    <a:stretch>
                      <a:fillRect/>
                    </a:stretch>
                  </pic:blipFill>
                  <pic:spPr>
                    <a:xfrm>
                      <a:off x="0" y="0"/>
                      <a:ext cx="5760000" cy="2651429"/>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w:t>
      </w:r>
      <w:r>
        <w:rPr>
          <w:rFonts w:ascii="Times New Roman" w:hAnsi="Times New Roman" w:cs="Times New Roman" w:eastAsia="Times New Roman"/>
          <w:i/>
          <w:sz w:val="24"/>
          <w:lang w:val="pt-BR"/>
        </w:rPr>
        <w:t xml:space="preserve">cold shortening</w:t>
      </w:r>
      <w:r>
        <w:rPr>
          <w:rFonts w:ascii="Times New Roman" w:hAnsi="Times New Roman" w:cs="Times New Roman" w:eastAsia="Times New Roman"/>
          <w:sz w:val="24"/>
          <w:lang w:val="pt-BR"/>
        </w:rPr>
        <w:t xml:space="preserve">),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Regressão Hedônica das DEPs</w:t>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ranking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ranking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aproximando-se dos sinais de mercado descritos por Spence (1973), atributos observáveis a partir dos quais o comprador infere características que não consegue verificar diretamente;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que tende a dificultar a tomada de decisão na seleção (GOMES, 2019).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3.</w:t>
      </w:r>
      <w:r>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6,79</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sz w:val="24"/>
          <w:lang w:val="pt-BR"/>
        </w:rPr>
        <w:t xml:space="preserve">Tabela 4.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Os valores de R² acima foram calculados na mesma amostra usada no ajuste. Fora dela, o poder preditivo foi baixo (Tabela 5): 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que explicou 88,1% da variação no treinamento, obteve R² </w:t>
      </w:r>
      <w:r>
        <w:rPr>
          <w:rFonts w:ascii="Times New Roman" w:hAnsi="Times New Roman" w:cs="Times New Roman" w:eastAsia="Times New Roman"/>
          <w:i/>
          <w:sz w:val="24"/>
          <w:lang w:val="pt-BR"/>
        </w:rPr>
        <w:t xml:space="preserve">out-of-bag</w:t>
      </w:r>
      <w:r>
        <w:rPr>
          <w:rFonts w:ascii="Times New Roman" w:hAnsi="Times New Roman" w:cs="Times New Roman" w:eastAsia="Times New Roman"/>
          <w:sz w:val="24"/>
          <w:lang w:val="pt-BR"/>
        </w:rPr>
        <w:t xml:space="preserve">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-5,2% (RMSE de R$ 6,47), sem ganho sobre a média do preço, e o conjunto do modelo final foi selecionado em apenas 2 das 50 partições.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(Figura 4a).</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-5,2</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6,47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i/>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6,44</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6034286"/>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5760000" cy="6034286"/>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w:t>
      </w:r>
      <w:r>
        <w:rPr>
          <w:rFonts w:ascii="Times New Roman" w:hAnsi="Times New Roman" w:cs="Times New Roman" w:eastAsia="Times New Roman"/>
          <w:b w:val="0"/>
          <w:i/>
          <w:sz w:val="24"/>
        </w:rPr>
        <w:t xml:space="preserve">Random Forest</w:t>
      </w:r>
      <w:r>
        <w:rPr>
          <w:rFonts w:ascii="Times New Roman" w:hAnsi="Times New Roman" w:cs="Times New Roman" w:eastAsia="Times New Roman"/>
          <w:b w:val="0"/>
          <w:i w:val="0"/>
          <w:sz w:val="24"/>
        </w:rPr>
        <w:t xml:space="preserve">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explicam pequena parte do preço da dose de sêmen de touros Nelore na central analisada; entre elas, o consumo alimentar residual é a que se associa ao preço de forma mais consistente, com ágio concentrado nos touros entre os 3% melhores nessa característica.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Na presença dos selos comerciais, o efeito linear do consumo alimentar residual deixa de ser significativo, mas o ágio dos touros no topo dessa característica se mantém, resultado exploratório que requer confirmação em outras amostras.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selo de fertilidade é o atributo do catálogo mais consistentemente associado ao preço da dose, seguido do selo de habilidade materna, cujo efeito fica no limite da significância.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apresentam efeito estatisticamente robusto sobre o preço.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maior parte da variação do preço depende de fatores não descritos no catálogo, e o poder preditivo dos modelos fora da amostra é baixo.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com a regressão hedônica permite identificar e quantificar os atributos associados ao preço e constitui uma abordagem de ciência de dados replicável para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w:t>
      </w:r>
      <w:r>
        <w:rPr>
          <w:rFonts w:ascii="Times New Roman" w:hAnsi="Times New Roman" w:cs="Times New Roman" w:eastAsia="Times New Roman"/>
          <w:b/>
          <w:sz w:val="24"/>
        </w:rPr>
        <w:t xml:space="preserve">The Quarterly Journal of Economics</w:t>
      </w:r>
      <w:r>
        <w:rPr>
          <w:rFonts w:ascii="Times New Roman" w:hAnsi="Times New Roman" w:cs="Times New Roman" w:eastAsia="Times New Roman"/>
          <w:sz w:val="24"/>
        </w:rPr>
        <w:t xml:space="preserve">,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w:t>
      </w:r>
      <w:r>
        <w:rPr>
          <w:rFonts w:ascii="Times New Roman" w:hAnsi="Times New Roman" w:cs="Times New Roman" w:eastAsia="Times New Roman"/>
          <w:b/>
          <w:sz w:val="24"/>
        </w:rPr>
        <w:t xml:space="preserve">Agricultura de precisão</w:t>
      </w:r>
      <w:r>
        <w:rPr>
          <w:rFonts w:ascii="Times New Roman" w:hAnsi="Times New Roman" w:cs="Times New Roman" w:eastAsia="Times New Roman"/>
          <w:sz w:val="24"/>
        </w:rPr>
        <w:t xml:space="preserve">: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w:t>
      </w:r>
      <w:r>
        <w:rPr>
          <w:rFonts w:ascii="Times New Roman" w:hAnsi="Times New Roman" w:cs="Times New Roman" w:eastAsia="Times New Roman"/>
          <w:b/>
          <w:sz w:val="24"/>
        </w:rPr>
        <w:t xml:space="preserve">Financial Innovation</w:t>
      </w:r>
      <w:r>
        <w:rPr>
          <w:rFonts w:ascii="Times New Roman" w:hAnsi="Times New Roman" w:cs="Times New Roman" w:eastAsia="Times New Roman"/>
          <w:sz w:val="24"/>
        </w:rPr>
        <w:t xml:space="preserve">, v. 11, art.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w:t>
      </w:r>
      <w:r>
        <w:rPr>
          <w:rFonts w:ascii="Times New Roman" w:hAnsi="Times New Roman" w:cs="Times New Roman" w:eastAsia="Times New Roman"/>
          <w:b/>
          <w:sz w:val="24"/>
        </w:rPr>
        <w:t xml:space="preserve">Frontiers in Sustainable Food Systems</w:t>
      </w:r>
      <w:r>
        <w:rPr>
          <w:rFonts w:ascii="Times New Roman" w:hAnsi="Times New Roman" w:cs="Times New Roman" w:eastAsia="Times New Roman"/>
          <w:sz w:val="24"/>
        </w:rPr>
        <w:t xml:space="preserve">, v. 7, art.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w:t>
      </w:r>
      <w:r>
        <w:rPr>
          <w:rFonts w:ascii="Times New Roman" w:hAnsi="Times New Roman" w:cs="Times New Roman" w:eastAsia="Times New Roman"/>
          <w:b/>
          <w:sz w:val="24"/>
        </w:rPr>
        <w:t xml:space="preserve">Anais</w:t>
      </w:r>
      <w:r>
        <w:rPr>
          <w:rFonts w:ascii="Times New Roman" w:hAnsi="Times New Roman" w:cs="Times New Roman" w:eastAsia="Times New Roman"/>
          <w:sz w:val="24"/>
        </w:rPr>
        <w:t xml:space="preserve"> [...]: o papel da tecnologia agrícola na segurança alimentar.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w:t>
      </w:r>
      <w:r>
        <w:rPr>
          <w:rFonts w:ascii="Times New Roman" w:hAnsi="Times New Roman" w:cs="Times New Roman" w:eastAsia="Times New Roman"/>
          <w:b/>
          <w:sz w:val="24"/>
        </w:rPr>
        <w:t xml:space="preserve">Machine Learning</w:t>
      </w:r>
      <w:r>
        <w:rPr>
          <w:rFonts w:ascii="Times New Roman" w:hAnsi="Times New Roman" w:cs="Times New Roman" w:eastAsia="Times New Roman"/>
          <w:sz w:val="24"/>
        </w:rPr>
        <w:t xml:space="preserve">,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w:t>
      </w:r>
      <w:r>
        <w:rPr>
          <w:rFonts w:ascii="Times New Roman" w:hAnsi="Times New Roman" w:cs="Times New Roman" w:eastAsia="Times New Roman"/>
          <w:b/>
          <w:sz w:val="24"/>
        </w:rPr>
        <w:t xml:space="preserve">Anais</w:t>
      </w:r>
      <w:r>
        <w:rPr>
          <w:rFonts w:ascii="Times New Roman" w:hAnsi="Times New Roman" w:cs="Times New Roman" w:eastAsia="Times New Roman"/>
          <w:sz w:val="24"/>
        </w:rPr>
        <w:t xml:space="preserve"> [...]: sistemas agroalimentares sustentáveis e o futuro da Amazônia.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w:t>
      </w:r>
      <w:r>
        <w:rPr>
          <w:rFonts w:ascii="Times New Roman" w:hAnsi="Times New Roman" w:cs="Times New Roman" w:eastAsia="Times New Roman"/>
          <w:b/>
          <w:sz w:val="24"/>
        </w:rPr>
        <w:t xml:space="preserve">PLoS ONE</w:t>
      </w:r>
      <w:r>
        <w:rPr>
          <w:rFonts w:ascii="Times New Roman" w:hAnsi="Times New Roman" w:cs="Times New Roman" w:eastAsia="Times New Roman"/>
          <w:sz w:val="24"/>
        </w:rPr>
        <w:t xml:space="preserv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CONFEDERAÇÃO DA AGRICULTURA E PECUÁRIA DO BRASIL (CNA). </w:t>
      </w:r>
      <w:r>
        <w:rPr>
          <w:rFonts w:ascii="Times New Roman" w:hAnsi="Times New Roman" w:cs="Times New Roman" w:eastAsia="Times New Roman"/>
          <w:b/>
          <w:sz w:val="24"/>
        </w:rPr>
        <w:t xml:space="preserve">PIB do agronegócio fecha 2024 com crescimento de 1,81%</w:t>
      </w:r>
      <w:r>
        <w:rPr>
          <w:rFonts w:ascii="Times New Roman" w:hAnsi="Times New Roman" w:cs="Times New Roman" w:eastAsia="Times New Roman"/>
          <w:sz w:val="24"/>
        </w:rPr>
        <w:t xml:space="preserve">.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GOMES, M. M. M. </w:t>
      </w:r>
      <w:r>
        <w:rPr>
          <w:rFonts w:ascii="Times New Roman" w:hAnsi="Times New Roman" w:cs="Times New Roman" w:eastAsia="Times New Roman"/>
          <w:b/>
          <w:sz w:val="24"/>
        </w:rPr>
        <w:t xml:space="preserve">Fatores que influenciam o preço de touros Nelore em leilões</w:t>
      </w:r>
      <w:r>
        <w:rPr>
          <w:rFonts w:ascii="Times New Roman" w:hAnsi="Times New Roman" w:cs="Times New Roman" w:eastAsia="Times New Roman"/>
          <w:sz w:val="24"/>
        </w:rPr>
        <w:t xml:space="preserve">. 2019. Dissertação (Mestrado em Ciência Animal) – Universidade Federal de Mato Grosso do Sul, Campo Grande, 2019.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w:t>
      </w:r>
      <w:r>
        <w:rPr>
          <w:rFonts w:ascii="Times New Roman" w:hAnsi="Times New Roman" w:cs="Times New Roman" w:eastAsia="Times New Roman"/>
          <w:b/>
          <w:sz w:val="24"/>
        </w:rPr>
        <w:t xml:space="preserve">Journal of Agricultural and Applied Economics</w:t>
      </w:r>
      <w:r>
        <w:rPr>
          <w:rFonts w:ascii="Times New Roman" w:hAnsi="Times New Roman" w:cs="Times New Roman" w:eastAsia="Times New Roman"/>
          <w:sz w:val="24"/>
        </w:rPr>
        <w:t xml:space="preserve">,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w:t>
      </w:r>
      <w:r>
        <w:rPr>
          <w:rFonts w:ascii="Times New Roman" w:hAnsi="Times New Roman" w:cs="Times New Roman" w:eastAsia="Times New Roman"/>
          <w:b/>
          <w:sz w:val="24"/>
        </w:rPr>
        <w:t xml:space="preserve">Revista Brasileira de Zootecnia</w:t>
      </w:r>
      <w:r>
        <w:rPr>
          <w:rFonts w:ascii="Times New Roman" w:hAnsi="Times New Roman" w:cs="Times New Roman" w:eastAsia="Times New Roman"/>
          <w:sz w:val="24"/>
        </w:rPr>
        <w:t xml:space="preserve">,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w:t>
      </w:r>
      <w:r>
        <w:rPr>
          <w:rFonts w:ascii="Times New Roman" w:hAnsi="Times New Roman" w:cs="Times New Roman" w:eastAsia="Times New Roman"/>
          <w:b/>
          <w:sz w:val="24"/>
        </w:rPr>
        <w:t xml:space="preserve">Journal of Econometrics</w:t>
      </w:r>
      <w:r>
        <w:rPr>
          <w:rFonts w:ascii="Times New Roman" w:hAnsi="Times New Roman" w:cs="Times New Roman" w:eastAsia="Times New Roman"/>
          <w:sz w:val="24"/>
        </w:rPr>
        <w:t xml:space="preserve">,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w:t>
      </w:r>
      <w:r>
        <w:rPr>
          <w:rFonts w:ascii="Times New Roman" w:hAnsi="Times New Roman" w:cs="Times New Roman" w:eastAsia="Times New Roman"/>
          <w:b/>
          <w:sz w:val="24"/>
        </w:rPr>
        <w:t xml:space="preserve">Pesquisa Agropecuária Brasileira</w:t>
      </w:r>
      <w:r>
        <w:rPr>
          <w:rFonts w:ascii="Times New Roman" w:hAnsi="Times New Roman" w:cs="Times New Roman" w:eastAsia="Times New Roman"/>
          <w:sz w:val="24"/>
        </w:rPr>
        <w:t xml:space="preserve">,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w:t>
      </w:r>
      <w:r>
        <w:rPr>
          <w:rFonts w:ascii="Times New Roman" w:hAnsi="Times New Roman" w:cs="Times New Roman" w:eastAsia="Times New Roman"/>
          <w:b/>
          <w:sz w:val="24"/>
        </w:rPr>
        <w:t xml:space="preserve">O Presente Rural</w:t>
      </w:r>
      <w:r>
        <w:rPr>
          <w:rFonts w:ascii="Times New Roman" w:hAnsi="Times New Roman" w:cs="Times New Roman" w:eastAsia="Times New Roman"/>
          <w:sz w:val="24"/>
        </w:rPr>
        <w:t xml:space="preserve">,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w:t>
      </w:r>
      <w:r>
        <w:rPr>
          <w:rFonts w:ascii="Times New Roman" w:hAnsi="Times New Roman" w:cs="Times New Roman" w:eastAsia="Times New Roman"/>
          <w:b/>
          <w:sz w:val="24"/>
        </w:rPr>
        <w:t xml:space="preserve">Journal of Political Economy</w:t>
      </w:r>
      <w:r>
        <w:rPr>
          <w:rFonts w:ascii="Times New Roman" w:hAnsi="Times New Roman" w:cs="Times New Roman" w:eastAsia="Times New Roman"/>
          <w:sz w:val="24"/>
        </w:rPr>
        <w:t xml:space="preserve">,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w:t>
      </w:r>
      <w:r>
        <w:rPr>
          <w:rFonts w:ascii="Times New Roman" w:hAnsi="Times New Roman" w:cs="Times New Roman" w:eastAsia="Times New Roman"/>
          <w:b/>
          <w:sz w:val="24"/>
        </w:rPr>
        <w:t xml:space="preserve">AABP Recent Graduate Conference Proceedings</w:t>
      </w:r>
      <w:r>
        <w:rPr>
          <w:rFonts w:ascii="Times New Roman" w:hAnsi="Times New Roman" w:cs="Times New Roman" w:eastAsia="Times New Roman"/>
          <w:sz w:val="24"/>
        </w:rPr>
        <w:t xml:space="preserve">,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w:t>
      </w:r>
      <w:r>
        <w:rPr>
          <w:rFonts w:ascii="Times New Roman" w:hAnsi="Times New Roman" w:cs="Times New Roman" w:eastAsia="Times New Roman"/>
          <w:b/>
          <w:sz w:val="24"/>
        </w:rPr>
        <w:t xml:space="preserve">Animal Reproduction</w:t>
      </w:r>
      <w:r>
        <w:rPr>
          <w:rFonts w:ascii="Times New Roman" w:hAnsi="Times New Roman" w:cs="Times New Roman" w:eastAsia="Times New Roman"/>
          <w:sz w:val="24"/>
        </w:rPr>
        <w:t xml:space="preserve">,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w:t>
      </w:r>
      <w:r>
        <w:rPr>
          <w:rFonts w:ascii="Times New Roman" w:hAnsi="Times New Roman" w:cs="Times New Roman" w:eastAsia="Times New Roman"/>
          <w:b/>
          <w:sz w:val="24"/>
        </w:rPr>
        <w:t xml:space="preserve">Avaliação do efeito de atributos intrínsecos e extrínsecos na formação de valor pelo cliente</w:t>
      </w:r>
      <w:r>
        <w:rPr>
          <w:rFonts w:ascii="Times New Roman" w:hAnsi="Times New Roman" w:cs="Times New Roman" w:eastAsia="Times New Roman"/>
          <w:sz w:val="24"/>
        </w:rPr>
        <w:t xml:space="preserv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SPENCE, M. Job market signaling. </w:t>
      </w:r>
      <w:r>
        <w:rPr>
          <w:rFonts w:ascii="Times New Roman" w:hAnsi="Times New Roman" w:cs="Times New Roman" w:eastAsia="Times New Roman"/>
          <w:b/>
          <w:sz w:val="24"/>
        </w:rPr>
        <w:t xml:space="preserve">The Quarterly Journal of Economics</w:t>
      </w:r>
      <w:r>
        <w:rPr>
          <w:rFonts w:ascii="Times New Roman" w:hAnsi="Times New Roman" w:cs="Times New Roman" w:eastAsia="Times New Roman"/>
          <w:sz w:val="24"/>
        </w:rPr>
        <w:t xml:space="preserve">, v. 87, n. 3, p. 355-374, 1973. DOI: https://doi.org/10.2307/1882010.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w:t>
      </w:r>
      <w:r>
        <w:rPr>
          <w:rFonts w:ascii="Times New Roman" w:hAnsi="Times New Roman" w:cs="Times New Roman" w:eastAsia="Times New Roman"/>
          <w:b/>
          <w:sz w:val="24"/>
        </w:rPr>
        <w:t xml:space="preserve">Journal of Agricultural and Applied Economics</w:t>
      </w:r>
      <w:r>
        <w:rPr>
          <w:rFonts w:ascii="Times New Roman" w:hAnsi="Times New Roman" w:cs="Times New Roman" w:eastAsia="Times New Roman"/>
          <w:sz w:val="24"/>
        </w:rPr>
        <w:t xml:space="preserve">,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w:t>
      </w:r>
      <w:r>
        <w:rPr>
          <w:rFonts w:ascii="Times New Roman" w:hAnsi="Times New Roman" w:cs="Times New Roman" w:eastAsia="Times New Roman"/>
          <w:b/>
          <w:sz w:val="24"/>
        </w:rPr>
        <w:t xml:space="preserve">Science</w:t>
      </w:r>
      <w:r>
        <w:rPr>
          <w:rFonts w:ascii="Times New Roman" w:hAnsi="Times New Roman" w:cs="Times New Roman" w:eastAsia="Times New Roman"/>
          <w:sz w:val="24"/>
        </w:rPr>
        <w:t xml:space="preserve">, v. 185, n. 4157, p. 1124-1131, 1974. DOI: https://doi.org/10.1126/science.185.4157.1124.</w:t>
      </w:r>
    </w:p>
    <w:sectPr w:rsidR="00821D15" w:rsidRPr="00C139A9" w:rsidSect="00821D15">
      <w:headerReference w:type="default" r:id="rId16"/>
      <w:footerReference w:type="default" r:id="rId17"/>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