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do sêmen reflete as provas genéticas. O objetivo geral foi analisar a relação entre as Diferenças Esperadas na Progênie (DEPs), os selos comerciais e as linhagens e o preço da dose de sêmen convencional de touros Nelore. Os objetivos específicos foram ranquear esses atributos pelo Random Forest,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web scraping do catálogo da CRV Lagoa em setembro de 2026: 115 touros com avaliação da ANCP e preço válido. O quadro teórico baseou-se na Teoria dos Preços Hedônicos (ROSEN, 1974) e no Random Forest (BREIMAN, 2001). A análise combinou Random Forest, regressões hedônicas com erros-padrão robustos, critério de Akaike e validação cruzada. As 18 DEPs explicaram pouco do preço; a única significativa em conjunto, o consumo alimentar residual, perdeu significância na forma linear diante dos selos, mas, em análise exploratória, o ágio dos 3% melhores persistiu. No modelo final (R² = 28,6% na amostra), foram significativos o selo de fertilidade (+R$ 5,21) e, no limite da significância, o de habilidade materna (+R$ 2,32), e nenhuma linhagem apresentou efeito robusto; fora da amostra, o poder preditivo foi baixo. Conclui-se que o selo de fertilidade pesa mais que as provas genéticas no preço.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Random Forest.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Random Forest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416FEE">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Os dados utilizados neste estudo foram extraídos do catálogo comercial digital de reprodutores da raça Nelore disponibilizado pela central de inseminação artificial CRV Lagoa (Sertãozinho, SP). A coleta automatizada dos dados (web scraping)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sidRPr="00CD41AD">
        <w:rPr>
          <w:rFonts w:ascii="Times New Roman" w:hAnsi="Times New Roman" w:cs="Times New Roman" w:eastAsia="Times New Roman"/>
          <w:sz w:val="24"/>
          <w:lang w:val="pt-BR"/>
        </w:rPr>
        <w:t>P</w:t>
      </w:r>
      <w:r w:rsidR="00416FEE" w:rsidRPr="00CD41AD">
        <w:rPr>
          <w:rFonts w:ascii="Times New Roman" w:hAnsi="Times New Roman" w:cs="Times New Roman" w:eastAsia="Times New Roman"/>
          <w:sz w:val="24"/>
          <w:lang w:val="pt-BR"/>
        </w:rPr>
        <w:t xml:space="preserve"> </w:t>
      </w:r>
      <w:r w:rsidR="00B80B99">
        <w:rPr>
          <w:rFonts w:ascii="Times New Roman" w:hAnsi="Times New Roman" w:cs="Times New Roman" w:eastAsia="Times New Roman"/>
          <w:sz w:val="24"/>
          <w:lang w:val="pt-BR"/>
        </w:rPr>
        <w:t>é</w:t>
      </w:r>
      <w:r w:rsidR="00416FEE"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v</w:t>
      </w:r>
      <w:r w:rsidR="00D54951" w:rsidRPr="00CD41AD">
        <w:rPr>
          <w:rFonts w:ascii="Times New Roman" w:hAnsi="Times New Roman" w:cs="Times New Roman" w:eastAsia="Times New Roman"/>
          <w:sz w:val="24"/>
          <w:lang w:val="pt-BR"/>
        </w:rPr>
        <w:t>etor d</w:t>
      </w:r>
      <w:r w:rsidR="00516A1D">
        <w:rPr>
          <w:rFonts w:ascii="Times New Roman" w:hAnsi="Times New Roman" w:cs="Times New Roman" w:eastAsia="Times New Roman"/>
          <w:sz w:val="24"/>
          <w:lang w:val="pt-BR"/>
        </w:rPr>
        <w:t>os</w:t>
      </w:r>
      <w:r w:rsidR="00D54951" w:rsidRPr="00CD41AD">
        <w:rPr>
          <w:rFonts w:ascii="Times New Roman" w:hAnsi="Times New Roman" w:cs="Times New Roman" w:eastAsia="Times New Roman"/>
          <w:sz w:val="24"/>
          <w:lang w:val="pt-BR"/>
        </w:rPr>
        <w:t xml:space="preserve"> p</w:t>
      </w:r>
      <w:r w:rsidRPr="00CD41AD">
        <w:rPr>
          <w:rFonts w:ascii="Times New Roman" w:hAnsi="Times New Roman" w:cs="Times New Roman" w:eastAsia="Times New Roman"/>
          <w:sz w:val="24"/>
          <w:lang w:val="pt-BR"/>
        </w:rPr>
        <w:t>reço</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da</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dose</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de sêmen convencional</w:t>
      </w:r>
      <w:r w:rsidR="00D54951"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 xml:space="preserve">dos touros em reais</w:t>
      </w:r>
      <w:r w:rsidR="00D54951" w:rsidRPr="00CD41AD">
        <w:rPr>
          <w:rFonts w:ascii="Times New Roman" w:hAnsi="Times New Roman" w:cs="Times New Roman" w:eastAsia="Times New Roman"/>
          <w:sz w:val="24"/>
          <w:lang w:val="pt-BR"/>
        </w:rPr>
        <w:t xml:space="preserve"/>
      </w:r>
      <w:r w:rsidRPr="00CD41AD">
        <w:rPr>
          <w:rFonts w:ascii="Times New Roman" w:hAnsi="Times New Roman" w:cs="Times New Roman" w:eastAsia="Times New Roman"/>
          <w:sz w:val="24"/>
          <w:lang w:val="pt-BR"/>
        </w:rPr>
        <w:t xml:space="preserve"/>
      </w:r>
      <w:r w:rsidR="00416FEE" w:rsidRPr="00CD41AD">
        <w:rPr>
          <w:rFonts w:ascii="Times New Roman" w:hAnsi="Times New Roman" w:cs="Times New Roman" w:eastAsia="Times New Roman"/>
          <w:sz w:val="24"/>
          <w:lang w:val="pt-BR"/>
        </w:rPr>
        <w:t xml:space="preserve">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ascii="Times New Roman" w:hAnsi="Times New Roman" w:cs="Times New Roman" w:eastAsia="Times New Roman"/>
          <w:sz w:val="24"/>
          <w:szCs w:val="28"/>
          <w:lang w:val="pt-BR"/>
        </w:rPr>
        <w:t xml:space="preserve"> </w:t>
      </w:r>
      <w:r w:rsidR="00B80B99">
        <w:rPr>
          <w:rFonts w:ascii="Times New Roman" w:hAnsi="Times New Roman" w:cs="Times New Roman" w:eastAsia="Times New Roman"/>
          <w:sz w:val="24"/>
          <w:lang w:val="pt-BR"/>
        </w:rPr>
        <w:t xml:space="preserve">é a matriz </w:t>
      </w:r>
      <w:r w:rsidR="00516A1D">
        <w:rPr>
          <w:rFonts w:ascii="Times New Roman" w:hAnsi="Times New Roman" w:cs="Times New Roman" w:eastAsia="Times New Roman"/>
          <w:sz w:val="24"/>
          <w:lang w:val="pt-BR"/>
        </w:rPr>
        <w:t>d</w:t>
      </w:r>
      <w:r w:rsidR="00B80B99">
        <w:rPr>
          <w:rFonts w:ascii="Times New Roman" w:hAnsi="Times New Roman" w:cs="Times New Roman" w:eastAsia="Times New Roman"/>
          <w:sz w:val="24"/>
          <w:lang w:val="pt-BR"/>
        </w:rPr>
        <w:t>os</w:t>
      </w:r>
      <w:r w:rsidR="00CD41AD" w:rsidRPr="00CD41AD">
        <w:rPr>
          <w:rFonts w:ascii="Times New Roman" w:hAnsi="Times New Roman" w:cs="Times New Roman" w:eastAsia="Times New Roman"/>
          <w:sz w:val="24"/>
          <w:lang w:val="pt-BR"/>
        </w:rPr>
        <w:t xml:space="preserve"> valor</w:t>
      </w:r>
      <w:r w:rsidR="00CD41AD">
        <w:rPr>
          <w:rFonts w:ascii="Times New Roman" w:hAnsi="Times New Roman" w:cs="Times New Roman" w:eastAsia="Times New Roman"/>
          <w:sz w:val="24"/>
          <w:lang w:val="pt-BR"/>
        </w:rPr>
        <w:t xml:space="preserve">es </w:t>
      </w:r>
      <w:r w:rsidR="00CD41AD" w:rsidRPr="00CD41AD">
        <w:rPr>
          <w:rFonts w:ascii="Times New Roman" w:hAnsi="Times New Roman" w:cs="Times New Roman" w:eastAsia="Times New Roman"/>
          <w:sz w:val="24"/>
          <w:lang w:val="pt-BR"/>
        </w:rPr>
        <w:t>de ranque d</w:t>
      </w:r>
      <w:r w:rsidR="00CD41AD">
        <w:rPr>
          <w:rFonts w:ascii="Times New Roman" w:hAnsi="Times New Roman" w:cs="Times New Roman" w:eastAsia="Times New Roman"/>
          <w:sz w:val="24"/>
          <w:lang w:val="pt-BR"/>
        </w:rPr>
        <w:t xml:space="preserve">as DEP </w:t>
      </w:r>
      <w:r w:rsidR="00516A1D">
        <w:rPr>
          <w:rFonts w:ascii="Times New Roman" w:hAnsi="Times New Roman" w:cs="Times New Roman" w:eastAsia="Times New Roman"/>
          <w:sz w:val="24"/>
          <w:lang w:val="pt-BR"/>
        </w:rPr>
        <w:t>dos</w:t>
      </w:r>
      <w:r w:rsidR="00183597" w:rsidRPr="00CD41AD">
        <w:rPr>
          <w:rFonts w:ascii="Times New Roman" w:hAnsi="Times New Roman" w:cs="Times New Roman" w:eastAsia="Times New Roman"/>
          <w:sz w:val="24"/>
          <w:lang w:val="pt-BR"/>
        </w:rPr>
        <w:t xml:space="preserve"> touro</w:t>
      </w:r>
      <w:r w:rsidR="00516A1D">
        <w:rPr>
          <w:rFonts w:ascii="Times New Roman" w:hAnsi="Times New Roman" w:cs="Times New Roman" w:eastAsia="Times New Roman"/>
          <w:sz w:val="24"/>
          <w:lang w:val="pt-BR"/>
        </w:rPr>
        <w:t>s</w:t>
      </w:r>
      <w:r w:rsidR="00B80B99">
        <w:rPr>
          <w:rFonts w:ascii="Times New Roman" w:hAnsi="Times New Roman" w:cs="Times New Roman" w:eastAsia="Times New Roman"/>
          <w:sz w:val="24"/>
          <w:lang w:val="pt-BR"/>
        </w:rPr>
        <w:t xml:space="preserve"> para</w:t>
      </w:r>
      <w:r w:rsidR="00767F67">
        <w:rPr>
          <w:rFonts w:ascii="Times New Roman" w:hAnsi="Times New Roman" w:cs="Times New Roman" w:eastAsia="Times New Roman"/>
          <w:sz w:val="24"/>
          <w:lang w:val="pt-BR"/>
        </w:rPr>
        <w:t xml:space="preserve"> a</w:t>
      </w:r>
      <w:r w:rsidR="00B80B99">
        <w:rPr>
          <w:rFonts w:ascii="Times New Roman" w:hAnsi="Times New Roman" w:cs="Times New Roman" w:eastAsia="Times New Roman"/>
          <w:sz w:val="24"/>
          <w:lang w:val="pt-BR"/>
        </w:rPr>
        <w:t>s 18 características consideradas no estudo,</w:t>
      </w:r>
      <w:r w:rsidR="00CD41AD" w:rsidRPr="00CD41AD">
        <w:rPr>
          <w:rFonts w:ascii="Times New Roman" w:hAnsi="Times New Roman" w:cs="Times New Roman" w:eastAsia="Times New Roman"/>
          <w:sz w:val="24"/>
          <w:lang w:val="pt-BR"/>
        </w:rPr>
        <w:t xml:space="preserve"> expressos em percentis (%)</w:t>
      </w:r>
      <w:r w:rsidR="00B80B99">
        <w:rPr>
          <w:rFonts w:ascii="Times New Roman" w:hAnsi="Times New Roman" w:cs="Times New Roman" w:eastAsia="Times New Roman"/>
          <w:sz w:val="24"/>
          <w:lang w:val="pt-BR"/>
        </w:rPr>
        <w:t>.</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ascii="Times New Roman" w:hAnsi="Times New Roman" w:cs="Times New Roman" w:eastAsia="Times New Roman"/>
          <w:sz w:val="24"/>
          <w:lang w:val="pt-BR"/>
        </w:rPr>
        <w:t xml:space="preserve"> é a matriz de incidência</w:t>
      </w:r>
      <w:r w:rsidR="00D54951" w:rsidRPr="00CD41AD">
        <w:rPr>
          <w:rFonts w:ascii="Times New Roman" w:hAnsi="Times New Roman" w:cs="Times New Roman" w:eastAsia="Times New Roman"/>
          <w:sz w:val="24"/>
          <w:lang w:val="pt-BR"/>
        </w:rPr>
        <w:t xml:space="preserve"> </w:t>
      </w:r>
      <w:r w:rsidR="00767F67">
        <w:rPr>
          <w:rFonts w:ascii="Times New Roman" w:hAnsi="Times New Roman" w:cs="Times New Roman" w:eastAsia="Times New Roman"/>
          <w:sz w:val="24"/>
          <w:lang w:val="pt-BR"/>
        </w:rPr>
        <w:t xml:space="preserve">dos touros </w:t>
      </w:r>
      <w:r w:rsidR="00B80B99">
        <w:rPr>
          <w:rFonts w:ascii="Times New Roman" w:hAnsi="Times New Roman" w:cs="Times New Roman" w:eastAsia="Times New Roman"/>
          <w:sz w:val="24"/>
          <w:lang w:val="pt-BR"/>
        </w:rPr>
        <w:t>para os 6 selos</w:t>
      </w:r>
      <w:r w:rsidR="00767F67">
        <w:rPr>
          <w:rFonts w:ascii="Times New Roman" w:hAnsi="Times New Roman" w:cs="Times New Roman" w:eastAsia="Times New Roman"/>
          <w:sz w:val="24"/>
          <w:lang w:val="pt-BR"/>
        </w:rPr>
        <w:t xml:space="preserve">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ascii="Times New Roman" w:hAnsi="Times New Roman" w:cs="Times New Roman" w:eastAsia="Times New Roman"/>
          <w:sz w:val="24"/>
          <w:szCs w:val="28"/>
          <w:lang w:val="pt-BR"/>
        </w:rPr>
        <w:t xml:space="preserve"> </w:t>
      </w:r>
      <w:r w:rsidR="00767F67">
        <w:rPr>
          <w:rFonts w:ascii="Times New Roman" w:hAnsi="Times New Roman" w:cs="Times New Roman" w:eastAsia="Times New Roman"/>
          <w:sz w:val="24"/>
          <w:lang w:val="pt-BR"/>
        </w:rPr>
        <w:t>é a matriz de incidência</w:t>
      </w:r>
      <w:r w:rsidR="00516A1D">
        <w:rPr>
          <w:rFonts w:ascii="Times New Roman" w:hAnsi="Times New Roman" w:cs="Times New Roman" w:eastAsia="Times New Roman"/>
          <w:sz w:val="24"/>
          <w:lang w:val="pt-BR"/>
        </w:rPr>
        <w:t xml:space="preserve"> </w:t>
      </w:r>
      <w:r w:rsidR="00D54951" w:rsidRPr="00CD41AD">
        <w:rPr>
          <w:rFonts w:ascii="Times New Roman" w:hAnsi="Times New Roman" w:cs="Times New Roman" w:eastAsia="Times New Roman"/>
          <w:sz w:val="24"/>
          <w:lang w:val="pt-BR"/>
        </w:rPr>
        <w:t>dos touros</w:t>
      </w:r>
      <w:r w:rsidR="00767F67">
        <w:rPr>
          <w:rFonts w:ascii="Times New Roman" w:hAnsi="Times New Roman" w:cs="Times New Roman" w:eastAsia="Times New Roman"/>
          <w:sz w:val="24"/>
          <w:lang w:val="pt-BR"/>
        </w:rPr>
        <w:t xml:space="preserve">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stayability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de Primíparas (FPP_TOP) e do escore de estrutura corporal, ou frame (FRAME_TOP), DEPs da ANCP posteriores a esse agrupamento,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O uso do ranking percentil (TOP</w:t>
      </w:r>
      <w:r w:rsidR="00CD41AD">
        <w:rPr>
          <w:rFonts w:ascii="Times New Roman" w:hAnsi="Times New Roman" w:cs="Times New Roman" w:eastAsia="Times New Roman"/>
          <w:sz w:val="24"/>
          <w:lang w:val="pt-BR"/>
        </w:rPr>
        <w:t xml:space="preserve"> </w:t>
      </w:r>
      <w:r w:rsidRPr="00C139A9">
        <w:rPr>
          <w:rFonts w:ascii="Times New Roman" w:hAnsi="Times New Roman" w:cs="Times New Roman" w:eastAsia="Times New Roman"/>
          <w:sz w:val="24"/>
          <w:lang w:val="pt-BR"/>
        </w:rPr>
        <w:t>%)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w:t>
      </w:r>
      <w:r w:rsidR="00431C10">
        <w:rPr>
          <w:rFonts w:ascii="Times New Roman" w:hAnsi="Times New Roman" w:cs="Times New Roman" w:eastAsia="Times New Roman"/>
          <w:sz w:val="24"/>
          <w:lang w:val="pt-BR"/>
        </w:rPr>
        <w:t xml:space="preserve">foram empregados selos</w:t>
      </w:r>
      <w:r w:rsidR="009F76F6" w:rsidRPr="00C139A9">
        <w:rPr>
          <w:rFonts w:ascii="Times New Roman" w:hAnsi="Times New Roman" w:cs="Times New Roman" w:eastAsia="Times New Roman"/>
          <w:sz w:val="24"/>
          <w:lang w:val="pt-BR"/>
        </w:rPr>
        <w:t xml:space="preserve"> de certificação</w:t>
      </w:r>
      <w:r w:rsidR="009F76F6">
        <w:rPr>
          <w:rFonts w:ascii="Times New Roman" w:hAnsi="Times New Roman" w:cs="Times New Roman" w:eastAsia="Times New Roman"/>
          <w:sz w:val="24"/>
          <w:lang w:val="pt-BR"/>
        </w:rPr>
        <w:t xml:space="preserve"> </w:t>
      </w:r>
      <w:r w:rsidR="009F76F6" w:rsidRPr="009F76F6">
        <w:rPr>
          <w:rFonts w:ascii="Times New Roman" w:hAnsi="Times New Roman" w:cs="Times New Roman" w:eastAsia="Times New Roman"/>
          <w:sz w:val="24"/>
          <w:lang w:val="pt-BR"/>
        </w:rPr>
        <w:t>concedidos pela central e programas parceiros</w:t>
      </w:r>
      <w:r w:rsidR="009F76F6" w:rsidRPr="00C139A9">
        <w:rPr>
          <w:rFonts w:ascii="Times New Roman" w:hAnsi="Times New Roman" w:cs="Times New Roman" w:eastAsia="Times New Roman"/>
          <w:sz w:val="24"/>
          <w:lang w:val="pt-BR"/>
        </w:rPr>
        <w:t xml:space="preserve"> </w:t>
      </w:r>
      <w:r w:rsidR="009F76F6">
        <w:rPr>
          <w:rFonts w:ascii="Times New Roman" w:hAnsi="Times New Roman" w:cs="Times New Roman" w:eastAsia="Times New Roman"/>
          <w:sz w:val="24"/>
          <w:lang w:val="pt-BR"/>
        </w:rPr>
        <w:t>à medida que os touros possuíam o</w:t>
      </w:r>
      <w:r w:rsidR="00767F67">
        <w:rPr>
          <w:rFonts w:ascii="Times New Roman" w:hAnsi="Times New Roman" w:cs="Times New Roman" w:eastAsia="Times New Roman"/>
          <w:sz w:val="24"/>
          <w:lang w:val="pt-BR"/>
        </w:rPr>
        <w:t xml:space="preserve"> respectivo</w:t>
      </w:r>
      <w:r w:rsidR="009F76F6">
        <w:rPr>
          <w:rFonts w:ascii="Times New Roman" w:hAnsi="Times New Roman" w:cs="Times New Roman" w:eastAsia="Times New Roman"/>
          <w:sz w:val="24"/>
          <w:lang w:val="pt-BR"/>
        </w:rPr>
        <w:t xml:space="preserve"> mérito genético. </w:t>
      </w:r>
    </w:p>
    <w:p w14:paraId="008EFDDF" w14:textId="4D19F064" w:rsidR="0034511D" w:rsidRDefault="009F76F6"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SELO_IFERT, que certificava</w:t>
      </w:r>
      <w:r w:rsidR="0034511D"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00406EC5"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os touros </w:t>
      </w:r>
      <w:r w:rsidR="0034511D" w:rsidRPr="00030586">
        <w:rPr>
          <w:rFonts w:ascii="Times New Roman" w:hAnsi="Times New Roman" w:cs="Times New Roman" w:eastAsia="Times New Roman"/>
          <w:sz w:val="24"/>
          <w:lang w:val="pt-BR"/>
        </w:rPr>
        <w:t>como</w:t>
      </w:r>
      <w:r w:rsidR="009F76F6" w:rsidRPr="00030586">
        <w:rPr>
          <w:rFonts w:ascii="Times New Roman" w:hAnsi="Times New Roman" w:cs="Times New Roman" w:eastAsia="Times New Roman"/>
          <w:sz w:val="24"/>
          <w:lang w:val="pt-BR"/>
        </w:rPr>
        <w:t xml:space="preserve"> superiores </w:t>
      </w:r>
      <w:r w:rsidR="0034511D" w:rsidRPr="00030586">
        <w:rPr>
          <w:rFonts w:ascii="Times New Roman" w:hAnsi="Times New Roman" w:cs="Times New Roman" w:eastAsia="Times New Roman"/>
          <w:sz w:val="24"/>
          <w:lang w:val="pt-BR"/>
        </w:rPr>
        <w:t xml:space="preserve">para </w:t>
      </w:r>
      <w:r w:rsidR="009F76F6" w:rsidRPr="00030586">
        <w:rPr>
          <w:rFonts w:ascii="Times New Roman" w:hAnsi="Times New Roman" w:cs="Times New Roman" w:eastAsia="Times New Roman"/>
          <w:sz w:val="24"/>
          <w:lang w:val="pt-BR"/>
        </w:rPr>
        <w:t>o</w:t>
      </w:r>
      <w:r w:rsidR="00406EC5"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Índice de Fertilidade</w:t>
      </w:r>
      <w:r w:rsidR="009F76F6" w:rsidRPr="00030586">
        <w:rPr>
          <w:rFonts w:ascii="Times New Roman" w:hAnsi="Times New Roman" w:cs="Times New Roman" w:eastAsia="Times New Roman"/>
          <w:sz w:val="24"/>
          <w:lang w:val="pt-BR"/>
        </w:rPr>
        <w:t xml:space="preserve">.</w:t>
      </w:r>
    </w:p>
    <w:p w14:paraId="26ECF8B0" w14:textId="50189819" w:rsidR="0034511D" w:rsidRPr="00030586" w:rsidRDefault="009F76F6"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O</w:t>
      </w:r>
      <w:r w:rsidR="00C139A9" w:rsidRPr="00030586">
        <w:rPr>
          <w:rFonts w:ascii="Times New Roman" w:hAnsi="Times New Roman" w:cs="Times New Roman" w:eastAsia="Times New Roman"/>
          <w:sz w:val="24"/>
          <w:lang w:val="pt-BR"/>
        </w:rPr>
        <w:t xml:space="preserve"> SELO_MATERNAL</w:t>
      </w:r>
      <w:r w:rsidR="0034511D" w:rsidRPr="00030586">
        <w:rPr>
          <w:rFonts w:ascii="Times New Roman" w:hAnsi="Times New Roman" w:cs="Times New Roman" w:eastAsia="Times New Roman"/>
          <w:sz w:val="24"/>
          <w:lang w:val="pt-BR"/>
        </w:rPr>
        <w:t>, que</w:t>
      </w:r>
      <w:r w:rsidR="00C139A9"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certificava</w:t>
      </w:r>
      <w:r w:rsidR="00406EC5" w:rsidRPr="00030586">
        <w:rPr>
          <w:rFonts w:ascii="Times New Roman" w:hAnsi="Times New Roman" w:cs="Times New Roman" w:eastAsia="Times New Roman"/>
          <w:sz w:val="24"/>
          <w:lang w:val="pt-BR"/>
        </w:rPr>
        <w:t xml:space="preserve"> quanto a a</w:t>
      </w:r>
      <w:r w:rsidR="00C139A9" w:rsidRPr="00030586">
        <w:rPr>
          <w:rFonts w:ascii="Times New Roman" w:hAnsi="Times New Roman" w:cs="Times New Roman" w:eastAsia="Times New Roman"/>
          <w:sz w:val="24"/>
          <w:lang w:val="pt-BR"/>
        </w:rPr>
        <w:t>ptidão para produção de fêmeas de reposição</w:t>
      </w:r>
      <w:r w:rsidRPr="00030586">
        <w:rPr>
          <w:rFonts w:ascii="Times New Roman" w:hAnsi="Times New Roman" w:cs="Times New Roman" w:eastAsia="Times New Roman"/>
          <w:sz w:val="24"/>
          <w:lang w:val="pt-BR"/>
        </w:rPr>
        <w:t xml:space="preserve">.</w:t>
      </w:r>
      <w:r w:rsidR="00C139A9" w:rsidRPr="00030586">
        <w:rPr>
          <w:rFonts w:ascii="Times New Roman" w:hAnsi="Times New Roman" w:cs="Times New Roman" w:eastAsia="Times New Roman"/>
          <w:sz w:val="24"/>
          <w:lang w:val="pt-BR"/>
        </w:rPr>
        <w:t xml:space="preserve"/>
      </w:r>
    </w:p>
    <w:p w14:paraId="03085321" w14:textId="77777777"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SELO_CAR, que certificava</w:t>
      </w:r>
      <w:r w:rsidR="0034511D"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quanto a</w:t>
      </w:r>
      <w:r w:rsidRPr="00030586">
        <w:rPr>
          <w:rFonts w:ascii="Times New Roman" w:hAnsi="Times New Roman" w:cs="Times New Roman" w:eastAsia="Times New Roman"/>
          <w:sz w:val="24"/>
          <w:lang w:val="pt-BR"/>
        </w:rPr>
        <w:t xml:space="preserve"> eficiência alimentar </w:t>
      </w:r>
      <w:r w:rsidR="00406EC5" w:rsidRPr="00030586">
        <w:rPr>
          <w:rFonts w:ascii="Times New Roman" w:hAnsi="Times New Roman" w:cs="Times New Roman" w:eastAsia="Times New Roman"/>
          <w:sz w:val="24"/>
          <w:lang w:val="pt-BR"/>
        </w:rPr>
        <w:t>p</w:t>
      </w:r>
      <w:r w:rsidR="009F76F6" w:rsidRPr="00030586">
        <w:rPr>
          <w:rFonts w:ascii="Times New Roman" w:hAnsi="Times New Roman" w:cs="Times New Roman" w:eastAsia="Times New Roman"/>
          <w:sz w:val="24"/>
          <w:lang w:val="pt-BR"/>
        </w:rPr>
        <w:t>or meio do critério do</w:t>
      </w:r>
      <w:r w:rsidR="00406EC5" w:rsidRPr="00030586">
        <w:rPr>
          <w:rFonts w:ascii="Times New Roman" w:hAnsi="Times New Roman" w:cs="Times New Roman" w:eastAsia="Times New Roman"/>
          <w:sz w:val="24"/>
          <w:lang w:val="pt-BR"/>
        </w:rPr>
        <w:t xml:space="preserve"> Consumo Alimentar R</w:t>
      </w:r>
      <w:r w:rsidRPr="00030586">
        <w:rPr>
          <w:rFonts w:ascii="Times New Roman" w:hAnsi="Times New Roman" w:cs="Times New Roman" w:eastAsia="Times New Roman"/>
          <w:sz w:val="24"/>
          <w:lang w:val="pt-BR"/>
        </w:rPr>
        <w:t>esidual</w:t>
      </w:r>
      <w:r w:rsidR="009F76F6" w:rsidRPr="00030586">
        <w:rPr>
          <w:rFonts w:ascii="Times New Roman" w:hAnsi="Times New Roman" w:cs="Times New Roman" w:eastAsia="Times New Roman"/>
          <w:sz w:val="24"/>
          <w:lang w:val="pt-BR"/>
        </w:rPr>
        <w:t xml:space="preserve">.</w:t>
      </w:r>
    </w:p>
    <w:p w14:paraId="025AA040" w14:textId="77777777"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SELO_NOVILHAS, que indicava os touros recomendados para uso em novilhas. Na amostra, os 29 touros com esse selo apresentaram mediana de TOP 13% para Peso ao Nascer e 7% para Facilidade de Parto de Primíparas,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importância relativa de cada variável na determinação do preço da dose foi mensurada via decréscimo médio de impureza (Mean Decrease in Impurity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out-of-bag do Random Forest, em que cada touro é previsto apenas pelas árvores que não o utilizaram no treinamento (BREIMAN, 2001), e por validação cruzada com cinco partições repetida dez vezes, comparando o Random Forest com as 31 variáveis das três dimensões (18 DEPs, 6 selos e 7 linhagens), o modelo hedônico final e sua especificação com o CAR como indicador de Super Elite, um modelo de regressão com as mesmas variáveis do Random Forest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desconsiderando os selos e as linhagens com menos de três touros na partição.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 xml:space="preserve">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ascii="Times New Roman" w:hAnsi="Times New Roman" w:cs="Times New Roman" w:eastAsia="Times New Roman"/>
          <w:sz w:val="24"/>
          <w:lang w:val="pt-BR"/>
        </w:rPr>
        <w:t xml:space="preserve"> </w:t>
      </w:r>
      <w:proofErr w:type="spellStart"/>
      <w:r w:rsidR="00516A1D">
        <w:rPr>
          <w:rFonts w:ascii="Times New Roman" w:hAnsi="Times New Roman" w:cs="Times New Roman" w:eastAsia="Times New Roman"/>
          <w:sz w:val="24"/>
          <w:lang w:val="pt-BR"/>
        </w:rPr>
        <w:t>é</w:t>
      </w:r>
      <w:proofErr w:type="spellEnd"/>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o intercepto (preço</w:t>
      </w:r>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B80B99">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Teste F de Significância Global: Avaliação da hipótese nula de que todos os coeficientes angulares são </w:t>
      </w:r>
      <w:r w:rsidRPr="00C139A9">
        <w:rPr>
          <w:rFonts w:ascii="Times New Roman" w:hAnsi="Times New Roman" w:cs="Times New Roman" w:eastAsia="Times New Roman"/>
          <w:sz w:val="24"/>
          <w:lang w:val="pt-BR"/>
        </w:rPr>
        <w:t>conjuntamente nulos (p&lt;0,05).</w:t>
      </w:r>
      <w:r w:rsidRPr="00C139A9">
        <w:rPr>
          <w:rFonts w:ascii="Times New Roman" w:hAnsi="Times New Roman" w:cs="Times New Roman" w:eastAsia="Times New Roman"/>
          <w:sz w:val="24"/>
          <w:lang w:val="pt-BR"/>
        </w:rPr>
        <w:t xml:space="preserve"> Nos modelos com erros-padrão robustos, o teste global corresponde ao teste de Wald com a matriz de covariância HC3.</w:t>
      </w:r>
      <w:r w:rsidRPr="00C139A9">
        <w:rPr>
          <w:rFonts w:ascii="Times New Roman" w:hAnsi="Times New Roman" w:cs="Times New Roman" w:eastAsia="Times New Roman"/>
          <w:sz w:val="24"/>
          <w:lang w:val="pt-BR"/>
        </w:rPr>
        <w:t xml:space="preserve">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e 3.14, com resultados idênticos nas duas versões, com pandas (3.0.6), numpy (2.5.3), scikit-learn (1.9.1), statsmodels (0.15.0), scipy (1.18.1), matplotlib (3.11.2) e seaborn (0.13.2).</w:t>
      </w:r>
      <w:proofErr w:type="spellStart"/>
      <w:proofErr w:type="spellEnd"/>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w:t>
      </w:r>
      <w:r w:rsidRPr="00C139A9">
        <w:rPr>
          <w:rFonts w:ascii="Times New Roman" w:hAnsi="Times New Roman" w:cs="Times New Roman" w:eastAsia="Times New Roman"/>
          <w:sz w:val="24"/>
          <w:lang w:val="pt-BR"/>
        </w:rPr>
        <w:t>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3316E5">
        <w:rPr>
          <w:rFonts w:ascii="Times New Roman" w:hAnsi="Times New Roman" w:cs="Times New Roman" w:eastAsia="Times New Roman"/>
          <w:b w:val="0"/>
          <w:bCs/>
          <w:sz w:val="24"/>
          <w:lang w:val="pt-BR"/>
        </w:rPr>
        <w:t xml:space="preserve">Tabela 1.</w:t>
      </w:r>
      <w:r w:rsidR="001B064C">
        <w:rPr>
          <w:rFonts w:ascii="Times New Roman" w:hAnsi="Times New Roman" w:cs="Times New Roman" w:eastAsia="Times New Roman"/>
          <w:b w:val="0"/>
          <w:bCs/>
          <w:sz w:val="24"/>
          <w:lang w:val="pt-BR"/>
        </w:rPr>
        <w:t xml:space="preserve"/>
      </w:r>
      <w:r w:rsidRPr="003316E5">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20,95</w:t>
            </w:r>
          </w:p>
        </w:tc>
      </w:tr>
    </w:tbl>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proximidade entre a média (R$ 32,40) e a mediana (R$ 31,20), aliada ao coeficiente de variação de 20,95%,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1B064C">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w:t>
      </w:r>
      <w:r w:rsidRPr="001B064C">
        <w:rPr>
          <w:rFonts w:ascii="Times New Roman" w:hAnsi="Times New Roman" w:cs="Times New Roman" w:eastAsia="Times New Roman"/>
          <w:b w:val="0"/>
          <w:sz w:val="24"/>
          <w:lang w:val="pt-BR"/>
        </w:rPr>
        <w:t xml:space="preserve">As 6 </w:t>
      </w:r>
      <w:r>
        <w:rPr>
          <w:rFonts w:ascii="Times New Roman" w:hAnsi="Times New Roman" w:cs="Times New Roman" w:eastAsia="Times New Roman"/>
          <w:b w:val="0"/>
          <w:sz w:val="24"/>
          <w:lang w:val="pt-BR"/>
        </w:rPr>
        <w:t>DEPs</w:t>
      </w:r>
      <w:r w:rsidRPr="001B064C">
        <w:rPr>
          <w:rFonts w:ascii="Times New Roman" w:hAnsi="Times New Roman" w:cs="Times New Roman" w:eastAsia="Times New Roman"/>
          <w:b w:val="0"/>
          <w:sz w:val="24"/>
          <w:lang w:val="pt-BR"/>
        </w:rPr>
        <w:t xml:space="preserve"> da </w:t>
      </w:r>
      <w:r>
        <w:rPr>
          <w:rFonts w:ascii="Times New Roman" w:hAnsi="Times New Roman" w:cs="Times New Roman" w:eastAsia="Times New Roman"/>
          <w:b w:val="0"/>
          <w:sz w:val="24"/>
          <w:lang w:val="pt-BR"/>
        </w:rPr>
        <w:t>ANCP</w:t>
      </w:r>
      <w:r w:rsidRPr="001B064C">
        <w:rPr>
          <w:rFonts w:ascii="Times New Roman" w:hAnsi="Times New Roman" w:cs="Times New Roman" w:eastAsia="Times New Roman"/>
          <w:b w:val="0"/>
          <w:sz w:val="24"/>
          <w:lang w:val="pt-BR"/>
        </w:rPr>
        <w:t xml:space="preserve">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Preço TOP </w:t>
            </w:r>
            <w:r>
              <w:rPr>
                <w:rFonts w:eastAsia="Times New Roman" w:cs="Times New Roman" w:ascii="Times New Roman" w:hAnsi="Times New Roman"/>
                <w:color w:val="000000"/>
                <w:sz w:val="22"/>
                <w:szCs w:val="22"/>
                <w:lang w:val="pt-BR" w:eastAsia="pt-BR"/>
              </w:rPr>
              <w:t>(R$)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10,1</w:t>
            </w:r>
          </w:p>
        </w:tc>
      </w:tr>
    </w:tbl>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CAR = Consumo Alimentar Residual, STAY = Probabilidade de permanência no rebanho (stayability), FRAME = Escore de estrutura corporal (frame),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860000" cy="37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4860000" cy="3780000"/>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6"/>
                    <a:stretch>
                      <a:fillRect/>
                    </a:stretch>
                  </pic:blipFill>
                  <pic:spPr>
                    <a:xfrm>
                      <a:off x="0" y="0"/>
                      <a:ext cx="5760000" cy="2651429"/>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(cold shortening),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Regressão Hedônica das DEPs</w:t>
      </w:r>
      <w:r w:rsidRPr="00C139A9">
        <w:rPr>
          <w:rFonts w:ascii="Times New Roman" w:hAnsi="Times New Roman" w:cs="Times New Roman" w:eastAsia="Times New Roman"/>
          <w:b/>
          <w:i/>
          <w:sz w:val="24"/>
        </w:rPr>
        <w:t xml:space="preserve"/>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91479F">
        <w:rPr>
          <w:rFonts w:ascii="Times New Roman" w:hAnsi="Times New Roman" w:cs="Times New Roman" w:eastAsia="Times New Roman"/>
          <w:b w:val="0"/>
          <w:bCs/>
          <w:sz w:val="24"/>
          <w:lang w:val="pt-BR"/>
        </w:rPr>
        <w:t xml:space="preserve">Tabela 3.</w:t>
      </w:r>
      <w:r w:rsidR="0091479F" w:rsidRPr="0091479F">
        <w:rPr>
          <w:rFonts w:ascii="Times New Roman" w:hAnsi="Times New Roman" w:cs="Times New Roman" w:eastAsia="Times New Roman"/>
          <w:b w:val="0"/>
          <w:bCs/>
          <w:sz w:val="24"/>
          <w:lang w:val="pt-BR"/>
        </w:rPr>
        <w:t xml:space="preserve"/>
      </w:r>
      <w:r w:rsidRPr="0091479F">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6,79</w:t>
            </w:r>
          </w:p>
        </w:tc>
      </w:tr>
    </w:tbl>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4.</w:t>
      </w:r>
      <w:r w:rsidRPr="00C139A9">
        <w:rPr>
          <w:rFonts w:ascii="Times New Roman" w:hAnsi="Times New Roman" w:cs="Times New Roman" w:eastAsia="Times New Roman"/>
          <w:b w:val="0"/>
          <w:sz w:val="24"/>
          <w:lang w:val="pt-BR"/>
        </w:rPr>
        <w:t xml:space="preserve">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bl>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7B6778">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pequena demais para preferir um ao outro; por isso, os resultados mais confiáveis são os que se repetem nos diferentes modelos, e não a especificação final em si.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a EAO entrou no modelo por representar a dimensão das linhagens (Etapa 1), e não por efeito significativo.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Os valores de R² acima foram calculados na mesma amostra usada no ajuste. Fora dela, o poder preditivo foi baixo (Tabela 5): o Random Forest com as 31 variáveis, que explicou 88,1% da variação no treinamento, obteve R² out-of-bag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-7,1% (RMSE de R$ 6,51), pouco melhor que o do modelo sem preditores (-10,4%; RMSE de R$ 6,72), e o conjunto do modelo final foi selecionado em apenas 2 das 50 partições; o SELO_IFERT foi selecionado em todas, e o SELO_MATERNAL, em 15.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Random Forest com as 31 variáveis (Figura 4a).</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500000" cy="4714285"/>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4500000" cy="4714285"/>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r w:rsidRPr="00C139A9">
        <w:rPr>
          <w:rFonts w:ascii="Times New Roman" w:hAnsi="Times New Roman" w:cs="Times New Roman" w:eastAsia="Times New Roman"/>
          <w:b w:val="0"/>
          <w:sz w:val="24"/>
          <w:lang w:val="pt-BR"/>
        </w:rPr>
        <w:t xml:space="preserve"/>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-7,1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6,51</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6,44</w:t>
            </w:r>
          </w:p>
        </w:tc>
      </w:tr>
    </w:tbl>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têm pequena influência sobre o preço da dose de sêmen de touros Nelore na central analisada.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Entre as DEPs, o consumo alimentar residual é a que mais se associa ao preço da dose.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Os selos comerciais, em especial o de fertilidade, pesam mais no preço da dose do que as DEPs e as linhagens.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influenciam o preço da dose de forma robusta.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preço da dose depende, em sua maior parte, de fatores não descritos no catálogo.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Random Forest com a regressão hedônica identifica e quantifica os atributos associados ao preço do sêmen e pode ser replicada em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The Quarterly Journal of Economics,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Financial Innovation, v. 11,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Frontiers in Sustainable Food Systems, v. 7,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Machine Learning,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PLoS ONE,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CNA – CONFEDERAÇÃO DA AGRICULTURA E PECUÁRIA DO BRASIL. PIB do agronegócio fecha 2024 com crescimento de 1,81%.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Journal of Agricultural and Applied Economics,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Journal of Econometrics,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Pesquisa Agropecuária Brasileira,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Journal of Political Economy,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AABP Recent Graduate Conference Proceedings,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Journal of Agricultural and Applied Economics,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Science, v. 185, n. 4157, p. 1124-1131, 1974. DOI: https://doi.org/10.1126/science.185.4157.1124.</w:t>
      </w:r>
    </w:p>
    <w:sectPr w:rsidR="00821D15" w:rsidRPr="00C139A9" w:rsidSect="00821D15">
      <w:headerReference w:type="default" r:id="rId17"/>
      <w:footerReference w:type="default" r:id="rId18"/>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