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лр-2--обоснование-актуальности-вкр"/>
    <w:p>
      <w:pPr>
        <w:pStyle w:val="Heading1"/>
      </w:pPr>
      <w:r>
        <w:t xml:space="preserve">ЛР 2 — обоснование актуальности ВКР</w:t>
      </w:r>
    </w:p>
    <w:p>
      <w:pPr>
        <w:pStyle w:val="FirstParagraph"/>
      </w:pPr>
      <w:r>
        <w:rPr>
          <w:b/>
          <w:bCs/>
        </w:rPr>
        <w:t xml:space="preserve">Тема ВКР:</w:t>
      </w:r>
      <w:r>
        <w:t xml:space="preserve"> </w:t>
      </w:r>
      <w:r>
        <w:t xml:space="preserve">«Разработка методики безопасного развёртывания MCP-серверов для интеграции LLM-агентов с корпоративными системами в изолированных контурах»</w:t>
      </w:r>
    </w:p>
    <w:p>
      <w:pPr>
        <w:pStyle w:val="BodyText"/>
      </w:pPr>
      <w:r>
        <w:rPr>
          <w:b/>
          <w:bCs/>
        </w:rPr>
        <w:t xml:space="preserve">Автор:</w:t>
      </w:r>
      <w:r>
        <w:t xml:space="preserve"> </w:t>
      </w:r>
      <w:r>
        <w:t xml:space="preserve">Поляков Александр Владимирович, K3339</w:t>
      </w:r>
    </w:p>
    <w:p>
      <w:pPr>
        <w:pStyle w:val="BodyText"/>
      </w:pPr>
      <w:r>
        <w:t xml:space="preserve">Тема относится к безопасности LLM-агентов. Агент на основе большой языковой модели подключается к корпоративным системам через MCP-серверы (Model Context Protocol) и получает право читать и изменять данные: проводить документы в 1С, отправлять письма из корпоративной почты. Если во входящем письме или документе содержится внедрённая инструкция, агент может выполнить её как задание пользователя. В работе исследуется, как развёртывать такие серверы в изолированном контуре без доступа в интернет, чтобы даже обманутый агент не смог причинить ущерб.</w:t>
      </w:r>
    </w:p>
    <w:p>
      <w:pPr>
        <w:pStyle w:val="BodyText"/>
      </w:pPr>
      <w:r>
        <w:t xml:space="preserve">Практическая часть ВКР выполняется на платформе AI-агентов для закрытых корпоративных сред, в разработке которой участвует автор. В платформе уже есть собственные MCP-серверы для 1С и почты, подтверждение опасных действий человеком, сетевые политики для части компонентов и стенды для экспериментов. Название продукта и детали его устройства в отчёте не раскрываются.</w:t>
      </w:r>
    </w:p>
    <w:bookmarkStart w:id="36" w:name="X77ed187140b4a10d4ffa761bc1baa5b7086da38"/>
    <w:p>
      <w:pPr>
        <w:pStyle w:val="Heading2"/>
      </w:pPr>
      <w:r>
        <w:t xml:space="preserve">1. Кто занимается темой</w:t>
      </w:r>
    </w:p>
    <w:bookmarkStart w:id="14" w:name="исследователи-и-разработчики"/>
    <w:p>
      <w:pPr>
        <w:pStyle w:val="Heading3"/>
      </w:pPr>
      <w:r>
        <w:t xml:space="preserve">Исследователи и разработчики</w:t>
      </w:r>
    </w:p>
    <w:tbl>
      <w:tblPr>
        <w:tblStyle w:val="Table"/>
        <w:tblLook w:firstRow="1" w:lastRow="0" w:firstColumn="0" w:lastColumn="0" w:noHBand="0" w:noVBand="0" w:val="002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W w:w="9355" w:type="dxa"/>
      </w:tblPr>
      <w:tblGrid>
        <w:gridCol w:w="3087"/>
        <w:gridCol w:w="3929"/>
        <w:gridCol w:w="2338"/>
      </w:tblGrid>
      <w:tr>
        <w:trPr>
          <w:tblHeader w:val="on"/>
        </w:trPr>
        <w:tc>
          <w:tcPr>
            <w:tcW w:w="3087" w:type="dxa"/>
          </w:tcPr>
          <w:p>
            <w:pPr>
              <w:pStyle w:val="Compact"/>
              <w:jc w:val="left"/>
            </w:pPr>
            <w:r>
              <w:t xml:space="preserve">Имя</w:t>
            </w:r>
          </w:p>
        </w:tc>
        <w:tc>
          <w:tcPr>
            <w:tcW w:w="3929" w:type="dxa"/>
          </w:tcPr>
          <w:p>
            <w:pPr>
              <w:pStyle w:val="Compact"/>
              <w:jc w:val="left"/>
            </w:pPr>
            <w:r>
              <w:t xml:space="preserve">Связь с темой, работы или проекты</w:t>
            </w:r>
          </w:p>
        </w:tc>
        <w:tc>
          <w:tcPr>
            <w:tcW w:w="2338" w:type="dxa"/>
          </w:tcPr>
          <w:p>
            <w:pPr>
              <w:pStyle w:val="Compact"/>
              <w:jc w:val="left"/>
            </w:pPr>
            <w:r>
              <w:t xml:space="preserve">Ссылка</w:t>
            </w:r>
          </w:p>
        </w:tc>
      </w:tr>
      <w:tr>
        <w:tc>
          <w:tcPr>
            <w:tcW w:w="3087" w:type="dxa"/>
          </w:tcPr>
          <w:p>
            <w:pPr>
              <w:pStyle w:val="Compact"/>
              <w:jc w:val="left"/>
            </w:pPr>
            <w:r>
              <w:t xml:space="preserve">Kai Greshake, Mario Fritz (CISPA Helmholtz Center for Information Security)</w:t>
            </w:r>
          </w:p>
        </w:tc>
        <w:tc>
          <w:tcPr>
            <w:tcW w:w="3929" w:type="dxa"/>
          </w:tcPr>
          <w:p>
            <w:pPr>
              <w:pStyle w:val="Compact"/>
              <w:jc w:val="left"/>
            </w:pPr>
            <w:r>
              <w:t xml:space="preserve">Впервые описали непрямую prompt injection в LLM-приложениях [2]</w:t>
            </w:r>
          </w:p>
        </w:tc>
        <w:tc>
          <w:tcPr>
            <w:tcW w:w="2338" w:type="dxa"/>
          </w:tcPr>
          <w:p>
            <w:pPr>
              <w:pStyle w:val="Compact"/>
              <w:jc w:val="left"/>
            </w:pPr>
            <w:hyperlink r:id="rId9">
              <w:r>
                <w:rPr>
                  <w:rStyle w:val="Hyperlink"/>
                </w:rPr>
                <w:t xml:space="preserve">arXiv:2302.12173</w:t>
              </w:r>
            </w:hyperlink>
          </w:p>
        </w:tc>
      </w:tr>
      <w:tr>
        <w:tc>
          <w:tcPr>
            <w:tcW w:w="3087" w:type="dxa"/>
          </w:tcPr>
          <w:p>
            <w:pPr>
              <w:pStyle w:val="Compact"/>
              <w:jc w:val="left"/>
            </w:pPr>
            <w:r>
              <w:t xml:space="preserve">Florian Tramèr (ETH Zürich, SPY Lab)</w:t>
            </w:r>
          </w:p>
        </w:tc>
        <w:tc>
          <w:tcPr>
            <w:tcW w:w="3929" w:type="dxa"/>
          </w:tcPr>
          <w:p>
            <w:pPr>
              <w:pStyle w:val="Compact"/>
              <w:jc w:val="left"/>
            </w:pPr>
            <w:r>
              <w:t xml:space="preserve">Руководит разработкой бенчмарка AgentDojo для оценки атак на агентов с инструментами и защит от них [3]</w:t>
            </w:r>
          </w:p>
        </w:tc>
        <w:tc>
          <w:tcPr>
            <w:tcW w:w="2338" w:type="dxa"/>
          </w:tcPr>
          <w:p>
            <w:pPr>
              <w:pStyle w:val="Compact"/>
              <w:jc w:val="left"/>
            </w:pPr>
            <w:hyperlink r:id="rId10">
              <w:r>
                <w:rPr>
                  <w:rStyle w:val="Hyperlink"/>
                </w:rPr>
                <w:t xml:space="preserve">agentdojo.spylab.ai</w:t>
              </w:r>
            </w:hyperlink>
          </w:p>
        </w:tc>
      </w:tr>
      <w:tr>
        <w:tc>
          <w:tcPr>
            <w:tcW w:w="3087" w:type="dxa"/>
          </w:tcPr>
          <w:p>
            <w:pPr>
              <w:pStyle w:val="Compact"/>
              <w:jc w:val="left"/>
            </w:pPr>
            <w:r>
              <w:t xml:space="preserve">Xinyi Hou, Haoyu Wang (Huazhong University of Science and Technology)</w:t>
            </w:r>
          </w:p>
        </w:tc>
        <w:tc>
          <w:tcPr>
            <w:tcW w:w="3929" w:type="dxa"/>
          </w:tcPr>
          <w:p>
            <w:pPr>
              <w:pStyle w:val="Compact"/>
              <w:jc w:val="left"/>
            </w:pPr>
            <w:r>
              <w:t xml:space="preserve">Авторы обзора угроз MCP по фазам жизненного цикла сервера [1]</w:t>
            </w:r>
          </w:p>
        </w:tc>
        <w:tc>
          <w:tcPr>
            <w:tcW w:w="2338" w:type="dxa"/>
          </w:tcPr>
          <w:p>
            <w:pPr>
              <w:pStyle w:val="Compact"/>
              <w:jc w:val="left"/>
            </w:pPr>
            <w:hyperlink r:id="rId11">
              <w:r>
                <w:rPr>
                  <w:rStyle w:val="Hyperlink"/>
                </w:rPr>
                <w:t xml:space="preserve">arXiv:2503.23278</w:t>
              </w:r>
            </w:hyperlink>
          </w:p>
        </w:tc>
      </w:tr>
      <w:tr>
        <w:tc>
          <w:tcPr>
            <w:tcW w:w="3087" w:type="dxa"/>
          </w:tcPr>
          <w:p>
            <w:pPr>
              <w:pStyle w:val="Compact"/>
              <w:jc w:val="left"/>
            </w:pPr>
            <w:r>
              <w:t xml:space="preserve">Simon Willison</w:t>
            </w:r>
          </w:p>
        </w:tc>
        <w:tc>
          <w:tcPr>
            <w:tcW w:w="3929" w:type="dxa"/>
          </w:tcPr>
          <w:p>
            <w:pPr>
              <w:pStyle w:val="Compact"/>
              <w:jc w:val="left"/>
            </w:pPr>
            <w:r>
              <w:t xml:space="preserve">Независимый разработчик, ввёл термин prompt injection и ведёт публичный разбор атак на агентов</w:t>
            </w:r>
          </w:p>
        </w:tc>
        <w:tc>
          <w:tcPr>
            <w:tcW w:w="2338" w:type="dxa"/>
          </w:tcPr>
          <w:p>
            <w:pPr>
              <w:pStyle w:val="Compact"/>
              <w:jc w:val="left"/>
            </w:pPr>
            <w:hyperlink r:id="rId12">
              <w:r>
                <w:rPr>
                  <w:rStyle w:val="Hyperlink"/>
                </w:rPr>
                <w:t xml:space="preserve">simonwillison.net</w:t>
              </w:r>
            </w:hyperlink>
          </w:p>
        </w:tc>
      </w:tr>
      <w:tr>
        <w:tc>
          <w:tcPr>
            <w:tcW w:w="3087" w:type="dxa"/>
          </w:tcPr>
          <w:p>
            <w:pPr>
              <w:pStyle w:val="Compact"/>
              <w:jc w:val="left"/>
            </w:pPr>
            <w:r>
              <w:t xml:space="preserve">Конев А. А., Паюсова Т. И.</w:t>
            </w:r>
          </w:p>
        </w:tc>
        <w:tc>
          <w:tcPr>
            <w:tcW w:w="3929" w:type="dxa"/>
          </w:tcPr>
          <w:p>
            <w:pPr>
              <w:pStyle w:val="Compact"/>
              <w:jc w:val="left"/>
            </w:pPr>
            <w:r>
              <w:t xml:space="preserve">Систематический обзор применения LLM в информационной безопасности [12]</w:t>
            </w:r>
          </w:p>
        </w:tc>
        <w:tc>
          <w:tcPr>
            <w:tcW w:w="2338" w:type="dxa"/>
          </w:tcPr>
          <w:p>
            <w:pPr>
              <w:pStyle w:val="Compact"/>
              <w:jc w:val="left"/>
            </w:pPr>
            <w:hyperlink r:id="rId13">
              <w:r>
                <w:rPr>
                  <w:rStyle w:val="Hyperlink"/>
                </w:rPr>
                <w:t xml:space="preserve">НТВ ИТМО</w:t>
              </w:r>
            </w:hyperlink>
          </w:p>
        </w:tc>
      </w:tr>
    </w:tbl>
    <w:bookmarkEnd w:id="14"/>
    <w:bookmarkStart w:id="21" w:name="организации"/>
    <w:p>
      <w:pPr>
        <w:pStyle w:val="Heading3"/>
      </w:pPr>
      <w:r>
        <w:t xml:space="preserve">Организации</w:t>
      </w:r>
    </w:p>
    <w:tbl>
      <w:tblPr>
        <w:tblStyle w:val="Table"/>
        <w:tblLook w:firstRow="1" w:lastRow="0" w:firstColumn="0" w:lastColumn="0" w:noHBand="0" w:noVBand="0" w:val="002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W w:w="9355" w:type="dxa"/>
      </w:tblPr>
      <w:tblGrid>
        <w:gridCol w:w="3087"/>
        <w:gridCol w:w="3929"/>
        <w:gridCol w:w="2338"/>
      </w:tblGrid>
      <w:tr>
        <w:trPr>
          <w:tblHeader w:val="on"/>
        </w:trPr>
        <w:tc>
          <w:tcPr>
            <w:tcW w:w="3087" w:type="dxa"/>
          </w:tcPr>
          <w:p>
            <w:pPr>
              <w:pStyle w:val="Compact"/>
              <w:jc w:val="left"/>
            </w:pPr>
            <w:r>
              <w:t xml:space="preserve">Название</w:t>
            </w:r>
          </w:p>
        </w:tc>
        <w:tc>
          <w:tcPr>
            <w:tcW w:w="3929" w:type="dxa"/>
          </w:tcPr>
          <w:p>
            <w:pPr>
              <w:pStyle w:val="Compact"/>
              <w:jc w:val="left"/>
            </w:pPr>
            <w:r>
              <w:t xml:space="preserve">Работы или проекты по теме</w:t>
            </w:r>
          </w:p>
        </w:tc>
        <w:tc>
          <w:tcPr>
            <w:tcW w:w="2338" w:type="dxa"/>
          </w:tcPr>
          <w:p>
            <w:pPr>
              <w:pStyle w:val="Compact"/>
              <w:jc w:val="left"/>
            </w:pPr>
            <w:r>
              <w:t xml:space="preserve">Ссылка</w:t>
            </w:r>
          </w:p>
        </w:tc>
      </w:tr>
      <w:tr>
        <w:tc>
          <w:tcPr>
            <w:tcW w:w="3087" w:type="dxa"/>
          </w:tcPr>
          <w:p>
            <w:pPr>
              <w:pStyle w:val="Compact"/>
              <w:jc w:val="left"/>
            </w:pPr>
            <w:r>
              <w:t xml:space="preserve">Anthropic</w:t>
            </w:r>
          </w:p>
        </w:tc>
        <w:tc>
          <w:tcPr>
            <w:tcW w:w="3929" w:type="dxa"/>
          </w:tcPr>
          <w:p>
            <w:pPr>
              <w:pStyle w:val="Compact"/>
              <w:jc w:val="left"/>
            </w:pPr>
            <w:r>
              <w:t xml:space="preserve">Автор спецификации MCP и её раздела о безопасности [6]</w:t>
            </w:r>
          </w:p>
        </w:tc>
        <w:tc>
          <w:tcPr>
            <w:tcW w:w="2338" w:type="dxa"/>
          </w:tcPr>
          <w:p>
            <w:pPr>
              <w:pStyle w:val="Compact"/>
              <w:jc w:val="left"/>
            </w:pPr>
            <w:hyperlink r:id="rId15">
              <w:r>
                <w:rPr>
                  <w:rStyle w:val="Hyperlink"/>
                </w:rPr>
                <w:t xml:space="preserve">modelcontextprotocol.io</w:t>
              </w:r>
            </w:hyperlink>
          </w:p>
        </w:tc>
      </w:tr>
      <w:tr>
        <w:tc>
          <w:tcPr>
            <w:tcW w:w="3087" w:type="dxa"/>
          </w:tcPr>
          <w:p>
            <w:pPr>
              <w:pStyle w:val="Compact"/>
              <w:jc w:val="left"/>
            </w:pPr>
            <w:r>
              <w:t xml:space="preserve">OWASP GenAI Security Project</w:t>
            </w:r>
          </w:p>
        </w:tc>
        <w:tc>
          <w:tcPr>
            <w:tcW w:w="3929" w:type="dxa"/>
          </w:tcPr>
          <w:p>
            <w:pPr>
              <w:pStyle w:val="Compact"/>
              <w:jc w:val="left"/>
            </w:pPr>
            <w:r>
              <w:t xml:space="preserve">OWASP Top 10 for LLM Applications [4]</w:t>
            </w:r>
          </w:p>
        </w:tc>
        <w:tc>
          <w:tcPr>
            <w:tcW w:w="2338" w:type="dxa"/>
          </w:tcPr>
          <w:p>
            <w:pPr>
              <w:pStyle w:val="Compact"/>
              <w:jc w:val="left"/>
            </w:pPr>
            <w:hyperlink r:id="rId16">
              <w:r>
                <w:rPr>
                  <w:rStyle w:val="Hyperlink"/>
                </w:rPr>
                <w:t xml:space="preserve">genai.owasp.org</w:t>
              </w:r>
            </w:hyperlink>
          </w:p>
        </w:tc>
      </w:tr>
      <w:tr>
        <w:tc>
          <w:tcPr>
            <w:tcW w:w="3087" w:type="dxa"/>
          </w:tcPr>
          <w:p>
            <w:pPr>
              <w:pStyle w:val="Compact"/>
              <w:jc w:val="left"/>
            </w:pPr>
            <w:r>
              <w:t xml:space="preserve">Invariant Labs (Snyk)</w:t>
            </w:r>
          </w:p>
        </w:tc>
        <w:tc>
          <w:tcPr>
            <w:tcW w:w="3929" w:type="dxa"/>
          </w:tcPr>
          <w:p>
            <w:pPr>
              <w:pStyle w:val="Compact"/>
              <w:jc w:val="left"/>
            </w:pPr>
            <w:r>
              <w:t xml:space="preserve">Описали атаку tool poisoning на MCP, выпустили сканер mcp-scan, который теперь развивается как Snyk Agent Scan</w:t>
            </w:r>
          </w:p>
        </w:tc>
        <w:tc>
          <w:tcPr>
            <w:tcW w:w="2338" w:type="dxa"/>
          </w:tcPr>
          <w:p>
            <w:pPr>
              <w:pStyle w:val="Compact"/>
              <w:jc w:val="left"/>
            </w:pPr>
            <w:hyperlink r:id="rId17">
              <w:r>
                <w:rPr>
                  <w:rStyle w:val="Hyperlink"/>
                </w:rPr>
                <w:t xml:space="preserve">блог</w:t>
              </w:r>
            </w:hyperlink>
            <w:r>
              <w:t xml:space="preserve">,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GitHub</w:t>
              </w:r>
            </w:hyperlink>
          </w:p>
        </w:tc>
      </w:tr>
      <w:tr>
        <w:tc>
          <w:tcPr>
            <w:tcW w:w="3087" w:type="dxa"/>
          </w:tcPr>
          <w:p>
            <w:pPr>
              <w:pStyle w:val="Compact"/>
              <w:jc w:val="left"/>
            </w:pPr>
            <w:r>
              <w:t xml:space="preserve">Cisco AI Defense</w:t>
            </w:r>
          </w:p>
        </w:tc>
        <w:tc>
          <w:tcPr>
            <w:tcW w:w="3929" w:type="dxa"/>
          </w:tcPr>
          <w:p>
            <w:pPr>
              <w:pStyle w:val="Compact"/>
              <w:jc w:val="left"/>
            </w:pPr>
            <w:r>
              <w:t xml:space="preserve">Открытый сканер MCP-серверов MCP Scanner</w:t>
            </w:r>
          </w:p>
        </w:tc>
        <w:tc>
          <w:tcPr>
            <w:tcW w:w="2338" w:type="dxa"/>
          </w:tcPr>
          <w:p>
            <w:pPr>
              <w:pStyle w:val="Compact"/>
              <w:jc w:val="left"/>
            </w:pPr>
            <w:hyperlink r:id="rId19">
              <w:r>
                <w:rPr>
                  <w:rStyle w:val="Hyperlink"/>
                </w:rPr>
                <w:t xml:space="preserve">GitHub</w:t>
              </w:r>
            </w:hyperlink>
          </w:p>
        </w:tc>
      </w:tr>
      <w:tr>
        <w:tc>
          <w:tcPr>
            <w:tcW w:w="3087" w:type="dxa"/>
          </w:tcPr>
          <w:p>
            <w:pPr>
              <w:pStyle w:val="Compact"/>
              <w:jc w:val="left"/>
            </w:pPr>
            <w:r>
              <w:t xml:space="preserve">ФСТЭК России</w:t>
            </w:r>
          </w:p>
        </w:tc>
        <w:tc>
          <w:tcPr>
            <w:tcW w:w="3929" w:type="dxa"/>
          </w:tcPr>
          <w:p>
            <w:pPr>
              <w:pStyle w:val="Compact"/>
              <w:jc w:val="left"/>
            </w:pPr>
            <w:r>
              <w:t xml:space="preserve">Требования к защите информации при использовании ИИ и к средствам контейнеризации [10, 11]</w:t>
            </w:r>
          </w:p>
        </w:tc>
        <w:tc>
          <w:tcPr>
            <w:tcW w:w="2338" w:type="dxa"/>
          </w:tcPr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fstec.ru</w:t>
              </w:r>
            </w:hyperlink>
          </w:p>
        </w:tc>
      </w:tr>
    </w:tbl>
    <w:bookmarkEnd w:id="21"/>
    <w:bookmarkStart w:id="29" w:name="конференции"/>
    <w:p>
      <w:pPr>
        <w:pStyle w:val="Heading3"/>
      </w:pPr>
      <w:r>
        <w:t xml:space="preserve">Конференции</w:t>
      </w:r>
    </w:p>
    <w:tbl>
      <w:tblPr>
        <w:tblStyle w:val="Table"/>
        <w:tblLook w:firstRow="1" w:lastRow="0" w:firstColumn="0" w:lastColumn="0" w:noHBand="0" w:noVBand="0" w:val="002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W w:w="9355" w:type="dxa"/>
      </w:tblPr>
      <w:tblGrid>
        <w:gridCol w:w="3087"/>
        <w:gridCol w:w="3929"/>
        <w:gridCol w:w="2338"/>
      </w:tblGrid>
      <w:tr>
        <w:trPr>
          <w:tblHeader w:val="on"/>
        </w:trPr>
        <w:tc>
          <w:tcPr>
            <w:tcW w:w="3087" w:type="dxa"/>
          </w:tcPr>
          <w:p>
            <w:pPr>
              <w:pStyle w:val="Compact"/>
              <w:jc w:val="left"/>
            </w:pPr>
            <w:r>
              <w:t xml:space="preserve">Название</w:t>
            </w:r>
          </w:p>
        </w:tc>
        <w:tc>
          <w:tcPr>
            <w:tcW w:w="3929" w:type="dxa"/>
          </w:tcPr>
          <w:p>
            <w:pPr>
              <w:pStyle w:val="Compact"/>
              <w:jc w:val="left"/>
            </w:pPr>
            <w:r>
              <w:t xml:space="preserve">Какие работы по теме представлены</w:t>
            </w:r>
          </w:p>
        </w:tc>
        <w:tc>
          <w:tcPr>
            <w:tcW w:w="2338" w:type="dxa"/>
          </w:tcPr>
          <w:p>
            <w:pPr>
              <w:pStyle w:val="Compact"/>
              <w:jc w:val="left"/>
            </w:pPr>
            <w:r>
              <w:t xml:space="preserve">Ссылка</w:t>
            </w:r>
          </w:p>
        </w:tc>
      </w:tr>
      <w:tr>
        <w:tc>
          <w:tcPr>
            <w:tcW w:w="3087" w:type="dxa"/>
          </w:tcPr>
          <w:p>
            <w:pPr>
              <w:pStyle w:val="Compact"/>
              <w:jc w:val="left"/>
            </w:pPr>
            <w:r>
              <w:t xml:space="preserve">ACM CCS, воркшоп AISec</w:t>
            </w:r>
          </w:p>
        </w:tc>
        <w:tc>
          <w:tcPr>
            <w:tcW w:w="3929" w:type="dxa"/>
          </w:tcPr>
          <w:p>
            <w:pPr>
              <w:pStyle w:val="Compact"/>
              <w:jc w:val="left"/>
            </w:pPr>
            <w:r>
              <w:t xml:space="preserve">Непрямая prompt injection в LLM-приложениях [2]</w:t>
            </w:r>
          </w:p>
        </w:tc>
        <w:tc>
          <w:tcPr>
            <w:tcW w:w="2338" w:type="dxa"/>
          </w:tcPr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aisec.cc</w:t>
              </w:r>
            </w:hyperlink>
          </w:p>
        </w:tc>
      </w:tr>
      <w:tr>
        <w:tc>
          <w:tcPr>
            <w:tcW w:w="3087" w:type="dxa"/>
          </w:tcPr>
          <w:p>
            <w:pPr>
              <w:pStyle w:val="Compact"/>
              <w:jc w:val="left"/>
            </w:pPr>
            <w:r>
              <w:t xml:space="preserve">NeurIPS, трек Datasets and Benchmarks</w:t>
            </w:r>
          </w:p>
        </w:tc>
        <w:tc>
          <w:tcPr>
            <w:tcW w:w="3929" w:type="dxa"/>
          </w:tcPr>
          <w:p>
            <w:pPr>
              <w:pStyle w:val="Compact"/>
              <w:jc w:val="left"/>
            </w:pPr>
            <w:r>
              <w:t xml:space="preserve">Бенчмарк AgentDojo [3]</w:t>
            </w:r>
          </w:p>
        </w:tc>
        <w:tc>
          <w:tcPr>
            <w:tcW w:w="2338" w:type="dxa"/>
          </w:tcPr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neurips.cc</w:t>
              </w:r>
            </w:hyperlink>
          </w:p>
        </w:tc>
      </w:tr>
      <w:tr>
        <w:tc>
          <w:tcPr>
            <w:tcW w:w="3087" w:type="dxa"/>
          </w:tcPr>
          <w:p>
            <w:pPr>
              <w:pStyle w:val="Compact"/>
              <w:jc w:val="left"/>
            </w:pPr>
            <w:r>
              <w:t xml:space="preserve">USENIX Security, IEEE Symposium on Security and Privacy</w:t>
            </w:r>
          </w:p>
        </w:tc>
        <w:tc>
          <w:tcPr>
            <w:tcW w:w="3929" w:type="dxa"/>
          </w:tcPr>
          <w:p>
            <w:pPr>
              <w:pStyle w:val="Compact"/>
              <w:jc w:val="left"/>
            </w:pPr>
            <w:r>
              <w:t xml:space="preserve">Основные площадки по безопасности систем, в том числе по атакам на LLM-приложения</w:t>
            </w:r>
          </w:p>
        </w:tc>
        <w:tc>
          <w:tcPr>
            <w:tcW w:w="2338" w:type="dxa"/>
          </w:tcPr>
          <w:p>
            <w:pPr>
              <w:pStyle w:val="Compact"/>
              <w:jc w:val="left"/>
            </w:pPr>
            <w:hyperlink r:id="rId24">
              <w:r>
                <w:rPr>
                  <w:rStyle w:val="Hyperlink"/>
                </w:rPr>
                <w:t xml:space="preserve">USENIX Security</w:t>
              </w:r>
            </w:hyperlink>
            <w:r>
              <w:t xml:space="preserve">,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IEEE S&amp;P</w:t>
              </w:r>
            </w:hyperlink>
          </w:p>
        </w:tc>
      </w:tr>
      <w:tr>
        <w:tc>
          <w:tcPr>
            <w:tcW w:w="3087" w:type="dxa"/>
          </w:tcPr>
          <w:p>
            <w:pPr>
              <w:pStyle w:val="Compact"/>
              <w:jc w:val="left"/>
            </w:pPr>
            <w:r>
              <w:t xml:space="preserve">Positive Hack Days, OFFZONE</w:t>
            </w:r>
          </w:p>
        </w:tc>
        <w:tc>
          <w:tcPr>
            <w:tcW w:w="3929" w:type="dxa"/>
          </w:tcPr>
          <w:p>
            <w:pPr>
              <w:pStyle w:val="Compact"/>
              <w:jc w:val="left"/>
            </w:pPr>
            <w:r>
              <w:t xml:space="preserve">Российские площадки практической безопасности, доклады об атаках на LLM-приложения</w:t>
            </w:r>
          </w:p>
        </w:tc>
        <w:tc>
          <w:tcPr>
            <w:tcW w:w="2338" w:type="dxa"/>
          </w:tcPr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phdays.com</w:t>
              </w:r>
            </w:hyperlink>
            <w:r>
              <w:t xml:space="preserve">,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offzone.moscow</w:t>
              </w:r>
            </w:hyperlink>
          </w:p>
        </w:tc>
      </w:tr>
      <w:tr>
        <w:tc>
          <w:tcPr>
            <w:tcW w:w="3087" w:type="dxa"/>
          </w:tcPr>
          <w:p>
            <w:pPr>
              <w:pStyle w:val="Compact"/>
              <w:jc w:val="left"/>
            </w:pPr>
            <w:r>
              <w:t xml:space="preserve">Конгресс молодых учёных ИТМО</w:t>
            </w:r>
          </w:p>
        </w:tc>
        <w:tc>
          <w:tcPr>
            <w:tcW w:w="3929" w:type="dxa"/>
          </w:tcPr>
          <w:p>
            <w:pPr>
              <w:pStyle w:val="Compact"/>
              <w:jc w:val="left"/>
            </w:pPr>
            <w:r>
              <w:t xml:space="preserve">Площадка для собственной публикации по теме ВКР</w:t>
            </w:r>
          </w:p>
        </w:tc>
        <w:tc>
          <w:tcPr>
            <w:tcW w:w="2338" w:type="dxa"/>
          </w:tcPr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kmu.itmo.ru</w:t>
              </w:r>
            </w:hyperlink>
          </w:p>
        </w:tc>
      </w:tr>
    </w:tbl>
    <w:bookmarkEnd w:id="29"/>
    <w:bookmarkStart w:id="35" w:name="научные-журналы"/>
    <w:p>
      <w:pPr>
        <w:pStyle w:val="Heading3"/>
      </w:pPr>
      <w:r>
        <w:t xml:space="preserve">Научные журналы</w:t>
      </w:r>
    </w:p>
    <w:tbl>
      <w:tblPr>
        <w:tblStyle w:val="Table"/>
        <w:tblLook w:firstRow="1" w:lastRow="0" w:firstColumn="0" w:lastColumn="0" w:noHBand="0" w:noVBand="0" w:val="002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W w:w="9355" w:type="dxa"/>
      </w:tblPr>
      <w:tblGrid>
        <w:gridCol w:w="3087"/>
        <w:gridCol w:w="3929"/>
        <w:gridCol w:w="2338"/>
      </w:tblGrid>
      <w:tr>
        <w:trPr>
          <w:tblHeader w:val="on"/>
        </w:trPr>
        <w:tc>
          <w:tcPr>
            <w:tcW w:w="3087" w:type="dxa"/>
          </w:tcPr>
          <w:p>
            <w:pPr>
              <w:pStyle w:val="Compact"/>
              <w:jc w:val="left"/>
            </w:pPr>
            <w:r>
              <w:t xml:space="preserve">Название</w:t>
            </w:r>
          </w:p>
        </w:tc>
        <w:tc>
          <w:tcPr>
            <w:tcW w:w="3929" w:type="dxa"/>
          </w:tcPr>
          <w:p>
            <w:pPr>
              <w:pStyle w:val="Compact"/>
              <w:jc w:val="left"/>
            </w:pPr>
            <w:r>
              <w:t xml:space="preserve">Какие работы по теме опубликованы</w:t>
            </w:r>
          </w:p>
        </w:tc>
        <w:tc>
          <w:tcPr>
            <w:tcW w:w="2338" w:type="dxa"/>
          </w:tcPr>
          <w:p>
            <w:pPr>
              <w:pStyle w:val="Compact"/>
              <w:jc w:val="left"/>
            </w:pPr>
            <w:r>
              <w:t xml:space="preserve">Ссылка</w:t>
            </w:r>
          </w:p>
        </w:tc>
      </w:tr>
      <w:tr>
        <w:tc>
          <w:tcPr>
            <w:tcW w:w="3087" w:type="dxa"/>
          </w:tcPr>
          <w:p>
            <w:pPr>
              <w:pStyle w:val="Compact"/>
              <w:jc w:val="left"/>
            </w:pPr>
            <w:r>
              <w:t xml:space="preserve">Научно-технический вестник информационных технологий, механики и оптики</w:t>
            </w:r>
          </w:p>
        </w:tc>
        <w:tc>
          <w:tcPr>
            <w:tcW w:w="3929" w:type="dxa"/>
          </w:tcPr>
          <w:p>
            <w:pPr>
              <w:pStyle w:val="Compact"/>
              <w:jc w:val="left"/>
            </w:pPr>
            <w:r>
              <w:t xml:space="preserve">Обзор применения LLM в информационной безопасности [12]</w:t>
            </w:r>
          </w:p>
        </w:tc>
        <w:tc>
          <w:tcPr>
            <w:tcW w:w="2338" w:type="dxa"/>
          </w:tcPr>
          <w:p>
            <w:pPr>
              <w:pStyle w:val="Compact"/>
              <w:jc w:val="left"/>
            </w:pPr>
            <w:hyperlink r:id="rId30">
              <w:r>
                <w:rPr>
                  <w:rStyle w:val="Hyperlink"/>
                </w:rPr>
                <w:t xml:space="preserve">ntv.ifmo.ru</w:t>
              </w:r>
            </w:hyperlink>
          </w:p>
        </w:tc>
      </w:tr>
      <w:tr>
        <w:tc>
          <w:tcPr>
            <w:tcW w:w="3087" w:type="dxa"/>
          </w:tcPr>
          <w:p>
            <w:pPr>
              <w:pStyle w:val="Compact"/>
              <w:jc w:val="left"/>
            </w:pPr>
            <w:r>
              <w:t xml:space="preserve">Вопросы кибербезопасности</w:t>
            </w:r>
          </w:p>
        </w:tc>
        <w:tc>
          <w:tcPr>
            <w:tcW w:w="3929" w:type="dxa"/>
          </w:tcPr>
          <w:p>
            <w:pPr>
              <w:pStyle w:val="Compact"/>
              <w:jc w:val="left"/>
            </w:pPr>
            <w:r>
              <w:t xml:space="preserve">Работы по защите информационных систем и применению ИИ в безопасности</w:t>
            </w:r>
          </w:p>
        </w:tc>
        <w:tc>
          <w:tcPr>
            <w:tcW w:w="2338" w:type="dxa"/>
          </w:tcPr>
          <w:p>
            <w:pPr>
              <w:pStyle w:val="Compact"/>
              <w:jc w:val="left"/>
            </w:pPr>
            <w:hyperlink r:id="rId31">
              <w:r>
                <w:rPr>
                  <w:rStyle w:val="Hyperlink"/>
                </w:rPr>
                <w:t xml:space="preserve">cyberrus.info</w:t>
              </w:r>
            </w:hyperlink>
          </w:p>
        </w:tc>
      </w:tr>
      <w:tr>
        <w:tc>
          <w:tcPr>
            <w:tcW w:w="3087" w:type="dxa"/>
          </w:tcPr>
          <w:p>
            <w:pPr>
              <w:pStyle w:val="Compact"/>
              <w:jc w:val="left"/>
            </w:pPr>
            <w:r>
              <w:t xml:space="preserve">Проблемы информационной безопасности. Компьютерные системы</w:t>
            </w:r>
          </w:p>
        </w:tc>
        <w:tc>
          <w:tcPr>
            <w:tcW w:w="3929" w:type="dxa"/>
          </w:tcPr>
          <w:p>
            <w:pPr>
              <w:pStyle w:val="Compact"/>
              <w:jc w:val="left"/>
            </w:pPr>
            <w:r>
              <w:t xml:space="preserve">Работы по защите компьютерных систем и анализу угроз</w:t>
            </w:r>
          </w:p>
        </w:tc>
        <w:tc>
          <w:tcPr>
            <w:tcW w:w="2338" w:type="dxa"/>
          </w:tcPr>
          <w:p>
            <w:pPr>
              <w:pStyle w:val="Compact"/>
              <w:jc w:val="left"/>
            </w:pPr>
            <w:hyperlink r:id="rId32">
              <w:r>
                <w:rPr>
                  <w:rStyle w:val="Hyperlink"/>
                </w:rPr>
                <w:t xml:space="preserve">jisp.ru</w:t>
              </w:r>
            </w:hyperlink>
          </w:p>
        </w:tc>
      </w:tr>
      <w:tr>
        <w:tc>
          <w:tcPr>
            <w:tcW w:w="3087" w:type="dxa"/>
          </w:tcPr>
          <w:p>
            <w:pPr>
              <w:pStyle w:val="Compact"/>
              <w:jc w:val="left"/>
            </w:pPr>
            <w:r>
              <w:t xml:space="preserve">Computers &amp; Security; IEEE Transactions on Dependable and Secure Computing</w:t>
            </w:r>
          </w:p>
        </w:tc>
        <w:tc>
          <w:tcPr>
            <w:tcW w:w="3929" w:type="dxa"/>
          </w:tcPr>
          <w:p>
            <w:pPr>
              <w:pStyle w:val="Compact"/>
              <w:jc w:val="left"/>
            </w:pPr>
            <w:r>
              <w:t xml:space="preserve">Международные журналы по безопасности систем, в том числе систем с машинным обучением</w:t>
            </w:r>
          </w:p>
        </w:tc>
        <w:tc>
          <w:tcPr>
            <w:tcW w:w="2338" w:type="dxa"/>
          </w:tcPr>
          <w:p>
            <w:pPr>
              <w:pStyle w:val="Compact"/>
              <w:jc w:val="left"/>
            </w:pPr>
            <w:hyperlink r:id="rId33">
              <w:r>
                <w:rPr>
                  <w:rStyle w:val="Hyperlink"/>
                </w:rPr>
                <w:t xml:space="preserve">Computers &amp; Security</w:t>
              </w:r>
            </w:hyperlink>
            <w:r>
              <w:t xml:space="preserve">,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IEEE TDSC</w:t>
              </w:r>
            </w:hyperlink>
          </w:p>
        </w:tc>
      </w:tr>
    </w:tbl>
    <w:bookmarkEnd w:id="35"/>
    <w:bookmarkEnd w:id="36"/>
    <w:bookmarkStart w:id="39" w:name="X5c84d71ac179b03e4204a91f3bd49ce6f270f78"/>
    <w:p>
      <w:pPr>
        <w:pStyle w:val="Heading2"/>
      </w:pPr>
      <w:r>
        <w:t xml:space="preserve">2. Обзор литературы</w:t>
      </w:r>
    </w:p>
    <w:p>
      <w:pPr>
        <w:pStyle w:val="FirstParagraph"/>
      </w:pPr>
      <w:r>
        <w:t xml:space="preserve">Угрозы LLM-агентов и протокола MCP уже описаны в научных работах и отраслевых стандартах. Вопрос о том, как закрывать эти угрозы при развёртывании серверов в изолированном контуре, исследован слабо. Список содержит 7 иностранных источников и 5 источников на русском языке.</w:t>
      </w:r>
    </w:p>
    <w:tbl>
      <w:tblPr>
        <w:tblStyle w:val="Table"/>
        <w:tblLook w:firstRow="1" w:lastRow="0" w:firstColumn="0" w:lastColumn="0" w:noHBand="0" w:noVBand="0" w:val="002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W w:w="9355" w:type="dxa"/>
      </w:tblPr>
      <w:tblGrid>
        <w:gridCol w:w="467"/>
        <w:gridCol w:w="3461"/>
        <w:gridCol w:w="2900"/>
        <w:gridCol w:w="2525"/>
      </w:tblGrid>
      <w:tr>
        <w:trPr>
          <w:tblHeader w:val="on"/>
        </w:trPr>
        <w:tc>
          <w:tcPr>
            <w:tcW w:w="467" w:type="dxa"/>
          </w:tcPr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>
            <w:tcW w:w="3461" w:type="dxa"/>
          </w:tcPr>
          <w:p>
            <w:pPr>
              <w:pStyle w:val="Compact"/>
              <w:jc w:val="left"/>
            </w:pPr>
            <w:r>
              <w:t xml:space="preserve">Библиографическая ссылка</w:t>
            </w:r>
          </w:p>
        </w:tc>
        <w:tc>
          <w:tcPr>
            <w:tcW w:w="2900" w:type="dxa"/>
          </w:tcPr>
          <w:p>
            <w:pPr>
              <w:pStyle w:val="Compact"/>
              <w:jc w:val="left"/>
            </w:pPr>
            <w:r>
              <w:t xml:space="preserve">Краткое описание</w:t>
            </w:r>
          </w:p>
        </w:tc>
        <w:tc>
          <w:tcPr>
            <w:tcW w:w="2525" w:type="dxa"/>
          </w:tcPr>
          <w:p>
            <w:pPr>
              <w:pStyle w:val="Compact"/>
              <w:jc w:val="left"/>
            </w:pPr>
            <w:r>
              <w:t xml:space="preserve">Чем полезен для работы</w:t>
            </w:r>
          </w:p>
        </w:tc>
      </w:tr>
      <w:tr>
        <w:tc>
          <w:tcPr>
            <w:tcW w:w="467" w:type="dxa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w="3461" w:type="dxa"/>
          </w:tcPr>
          <w:p>
            <w:pPr>
              <w:pStyle w:val="Compact"/>
              <w:jc w:val="left"/>
            </w:pPr>
            <w:r>
              <w:t xml:space="preserve">Hou X., Zhao Y., Wang S., Wang H. Model Context Protocol (MCP): Landscape, Security Threats, and Future Research Directions // arXiv. — 2025. — arXiv:2503.23278. — URL:</w:t>
            </w:r>
            <w:r>
              <w:t xml:space="preserve"> </w:t>
            </w:r>
            <w:hyperlink r:id="rId11">
              <w:r>
                <w:rPr>
                  <w:rStyle w:val="Hyperlink"/>
                </w:rPr>
                <w:t xml:space="preserve">https://arxiv.org/abs/2503.23278</w:t>
              </w:r>
            </w:hyperlink>
            <w:r>
              <w:t xml:space="preserve"> </w:t>
            </w:r>
            <w:r>
              <w:t xml:space="preserve">(дата обращения: 26.10.2026).</w:t>
            </w:r>
          </w:p>
        </w:tc>
        <w:tc>
          <w:tcPr>
            <w:tcW w:w="2900" w:type="dxa"/>
          </w:tcPr>
          <w:p>
            <w:pPr>
              <w:pStyle w:val="Compact"/>
              <w:jc w:val="left"/>
            </w:pPr>
            <w:r>
              <w:t xml:space="preserve">Первый систематический обзор безопасности MCP. Жизненный цикл сервера разбит на четыре фазы (создание, развёртывание, эксплуатация, сопровождение), угрозы сведены в 16 сценариев для четырёх типов нарушителей.</w:t>
            </w:r>
          </w:p>
        </w:tc>
        <w:tc>
          <w:tcPr>
            <w:tcW w:w="2525" w:type="dxa"/>
          </w:tcPr>
          <w:p>
            <w:pPr>
              <w:pStyle w:val="Compact"/>
              <w:jc w:val="left"/>
            </w:pPr>
            <w:r>
              <w:t xml:space="preserve">Основа модели угроз. Обзор подтверждает, что фаза развёртывания несёт собственные угрозы.</w:t>
            </w:r>
          </w:p>
        </w:tc>
      </w:tr>
      <w:tr>
        <w:tc>
          <w:tcPr>
            <w:tcW w:w="467" w:type="dxa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w="3461" w:type="dxa"/>
          </w:tcPr>
          <w:p>
            <w:pPr>
              <w:pStyle w:val="Compact"/>
              <w:jc w:val="left"/>
            </w:pPr>
            <w:r>
              <w:t xml:space="preserve">Greshake K., Abdelnabi S., Mishra S., Endres C., Holz T., Fritz M. Not What You've Signed Up For: Compromising Real-World LLM-Integrated Applications with Indirect Prompt Injection // Proceedings of the 16th ACM Workshop on Artificial Intelligence and Security (AISec '23). — New York: ACM, 2023. — P. 79–90. — DOI: 10.1145/3605764.3623985.</w:t>
            </w:r>
          </w:p>
        </w:tc>
        <w:tc>
          <w:tcPr>
            <w:tcW w:w="2900" w:type="dxa"/>
          </w:tcPr>
          <w:p>
            <w:pPr>
              <w:pStyle w:val="Compact"/>
              <w:jc w:val="left"/>
            </w:pPr>
            <w:r>
              <w:t xml:space="preserve">Впервые показана непрямая prompt injection: инструкция приходит не от пользователя, а из данных, которые приложение получает со стороны. На реальных системах продемонстрированы кража данных и распространение атаки.</w:t>
            </w:r>
          </w:p>
        </w:tc>
        <w:tc>
          <w:tcPr>
            <w:tcW w:w="2525" w:type="dxa"/>
          </w:tcPr>
          <w:p>
            <w:pPr>
              <w:pStyle w:val="Compact"/>
              <w:jc w:val="left"/>
            </w:pPr>
            <w:r>
              <w:t xml:space="preserve">Описывает именно ту атаку, которая угрожает агенту, читающему корпоративную почту.</w:t>
            </w:r>
          </w:p>
        </w:tc>
      </w:tr>
      <w:tr>
        <w:tc>
          <w:tcPr>
            <w:tcW w:w="467" w:type="dxa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w="3461" w:type="dxa"/>
          </w:tcPr>
          <w:p>
            <w:pPr>
              <w:pStyle w:val="Compact"/>
              <w:jc w:val="left"/>
            </w:pPr>
            <w:r>
              <w:t xml:space="preserve">Debenedetti E., Zhang J., Balunović M., Beurer-Kellner L., Fischer M., Tramèr F. AgentDojo: A Dynamic Environment to Evaluate Prompt Injection Attacks and Defenses for LLM Agents // Advances in Neural Information Processing Systems 37 (NeurIPS 2024), Datasets and Benchmarks Track. — 2024. — arXiv:2406.13352.</w:t>
            </w:r>
          </w:p>
        </w:tc>
        <w:tc>
          <w:tcPr>
            <w:tcW w:w="2900" w:type="dxa"/>
          </w:tcPr>
          <w:p>
            <w:pPr>
              <w:pStyle w:val="Compact"/>
              <w:jc w:val="left"/>
            </w:pPr>
            <w:r>
              <w:t xml:space="preserve">Открытая среда для оценки атак на агентов с инструментами: 97 задач (почта, интернет-банк, бронирование поездок и др.) и 629 тестовых сценариев атак. Ни одна из проверенных защит не устраняет атаки полностью.</w:t>
            </w:r>
          </w:p>
        </w:tc>
        <w:tc>
          <w:tcPr>
            <w:tcW w:w="2525" w:type="dxa"/>
          </w:tcPr>
          <w:p>
            <w:pPr>
              <w:pStyle w:val="Compact"/>
              <w:jc w:val="left"/>
            </w:pPr>
            <w:r>
              <w:t xml:space="preserve">Готовый набор атакующих сценариев и методика измерения для эксперимента ВКР.</w:t>
            </w:r>
          </w:p>
        </w:tc>
      </w:tr>
      <w:tr>
        <w:tc>
          <w:tcPr>
            <w:tcW w:w="467" w:type="dxa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w="3461" w:type="dxa"/>
          </w:tcPr>
          <w:p>
            <w:pPr>
              <w:pStyle w:val="Compact"/>
              <w:jc w:val="left"/>
            </w:pPr>
            <w:r>
              <w:t xml:space="preserve">OWASP Top 10 for LLM Applications 2025 / OWASP GenAI Security Project. — 2024. — URL: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https://genai.owasp.org/llm-top-10/</w:t>
              </w:r>
            </w:hyperlink>
            <w:r>
              <w:t xml:space="preserve"> </w:t>
            </w:r>
            <w:r>
              <w:t xml:space="preserve">(дата обращения: 26.10.2026).</w:t>
            </w:r>
          </w:p>
        </w:tc>
        <w:tc>
          <w:tcPr>
            <w:tcW w:w="2900" w:type="dxa"/>
          </w:tcPr>
          <w:p>
            <w:pPr>
              <w:pStyle w:val="Compact"/>
              <w:jc w:val="left"/>
            </w:pPr>
            <w:r>
              <w:t xml:space="preserve">Отраслевой перечень главных рисков LLM-приложений. Для темы важны LLM01 Prompt Injection, LLM02 Sensitive Information Disclosure и LLM06 Excessive Agency (избыточные полномочия агента).</w:t>
            </w:r>
          </w:p>
        </w:tc>
        <w:tc>
          <w:tcPr>
            <w:tcW w:w="2525" w:type="dxa"/>
          </w:tcPr>
          <w:p>
            <w:pPr>
              <w:pStyle w:val="Compact"/>
              <w:jc w:val="left"/>
            </w:pPr>
            <w:r>
              <w:t xml:space="preserve">Классификация угроз для модели угроз.</w:t>
            </w:r>
          </w:p>
        </w:tc>
      </w:tr>
      <w:tr>
        <w:tc>
          <w:tcPr>
            <w:tcW w:w="467" w:type="dxa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w="3461" w:type="dxa"/>
          </w:tcPr>
          <w:p>
            <w:pPr>
              <w:pStyle w:val="Compact"/>
              <w:jc w:val="left"/>
            </w:pPr>
            <w:r>
              <w:t xml:space="preserve">Liu Y., Deng G., Li Y. [и др.]. Prompt Injection attack against LLM-integrated Applications // arXiv. — 2023. — arXiv:2306.05499.</w:t>
            </w:r>
          </w:p>
        </w:tc>
        <w:tc>
          <w:tcPr>
            <w:tcW w:w="2900" w:type="dxa"/>
          </w:tcPr>
          <w:p>
            <w:pPr>
              <w:pStyle w:val="Compact"/>
              <w:jc w:val="left"/>
            </w:pPr>
            <w:r>
              <w:t xml:space="preserve">Исследование prompt injection в коммерческих LLM-приложениях методом чёрного ящика. Авторы предложили атаку HouYi и нашли уязвимыми 31 приложение из 36 проверенных.</w:t>
            </w:r>
          </w:p>
        </w:tc>
        <w:tc>
          <w:tcPr>
            <w:tcW w:w="2525" w:type="dxa"/>
          </w:tcPr>
          <w:p>
            <w:pPr>
              <w:pStyle w:val="Compact"/>
              <w:jc w:val="left"/>
            </w:pPr>
            <w:r>
              <w:t xml:space="preserve">Подтверждает, что уязвимость массовая, а не единичная.</w:t>
            </w:r>
          </w:p>
        </w:tc>
      </w:tr>
      <w:tr>
        <w:tc>
          <w:tcPr>
            <w:tcW w:w="467" w:type="dxa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w="3461" w:type="dxa"/>
          </w:tcPr>
          <w:p>
            <w:pPr>
              <w:pStyle w:val="Compact"/>
              <w:jc w:val="left"/>
            </w:pPr>
            <w:r>
              <w:t xml:space="preserve">Model Context Protocol Specification (revision 2025-06-18). Security Best Practices / Anthropic. — URL: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https://modelcontextprotocol.io/specification/2025-06-18/basic/security_best_practices</w:t>
              </w:r>
            </w:hyperlink>
            <w:r>
              <w:t xml:space="preserve"> </w:t>
            </w:r>
            <w:r>
              <w:t xml:space="preserve">(дата обращения: 26.10.2026).</w:t>
            </w:r>
          </w:p>
        </w:tc>
        <w:tc>
          <w:tcPr>
            <w:tcW w:w="2900" w:type="dxa"/>
          </w:tcPr>
          <w:p>
            <w:pPr>
              <w:pStyle w:val="Compact"/>
              <w:jc w:val="left"/>
            </w:pPr>
            <w:r>
              <w:t xml:space="preserve">Раздел спецификации MCP о безопасности: атака «запутанного заместителя» (confused deputy), передача токенов в обход сервера (token passthrough), перехват сессии, требование согласия пользователя.</w:t>
            </w:r>
          </w:p>
        </w:tc>
        <w:tc>
          <w:tcPr>
            <w:tcW w:w="2525" w:type="dxa"/>
          </w:tcPr>
          <w:p>
            <w:pPr>
              <w:pStyle w:val="Compact"/>
              <w:jc w:val="left"/>
            </w:pPr>
            <w:r>
              <w:t xml:space="preserve">Первичный перечень угроз протокола. Показывает, что развёртывание серверов в инфраструктуре заказчика спецификацией не описано.</w:t>
            </w:r>
          </w:p>
        </w:tc>
      </w:tr>
      <w:tr>
        <w:tc>
          <w:tcPr>
            <w:tcW w:w="467" w:type="dxa"/>
          </w:tcPr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>
            <w:tcW w:w="3461" w:type="dxa"/>
          </w:tcPr>
          <w:p>
            <w:pPr>
              <w:pStyle w:val="Compact"/>
              <w:jc w:val="left"/>
            </w:pPr>
            <w:r>
              <w:t xml:space="preserve">Souppaya M., Morello J., Scarfone K. Application Container Security Guide: NIST Special Publication 800-190. — Gaithersburg: NIST, 2017. — DOI: 10.6028/NIST.SP.800-190.</w:t>
            </w:r>
          </w:p>
        </w:tc>
        <w:tc>
          <w:tcPr>
            <w:tcW w:w="2900" w:type="dxa"/>
          </w:tcPr>
          <w:p>
            <w:pPr>
              <w:pStyle w:val="Compact"/>
              <w:jc w:val="left"/>
            </w:pPr>
            <w:r>
              <w:t xml:space="preserve">Руководство NIST по безопасности контейнерных приложений: риски образов, реестров, оркестратора и сетевого взаимодействия и меры против них.</w:t>
            </w:r>
          </w:p>
        </w:tc>
        <w:tc>
          <w:tcPr>
            <w:tcW w:w="2525" w:type="dxa"/>
          </w:tcPr>
          <w:p>
            <w:pPr>
              <w:pStyle w:val="Compact"/>
              <w:jc w:val="left"/>
            </w:pPr>
            <w:r>
              <w:t xml:space="preserve">База для мер развёртывания: сетевого разделения, минимальных прав, контроля образов.</w:t>
            </w:r>
          </w:p>
        </w:tc>
      </w:tr>
      <w:tr>
        <w:tc>
          <w:tcPr>
            <w:tcW w:w="467" w:type="dxa"/>
          </w:tcPr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>
            <w:tcW w:w="3461" w:type="dxa"/>
          </w:tcPr>
          <w:p>
            <w:pPr>
              <w:pStyle w:val="Compact"/>
              <w:jc w:val="left"/>
            </w:pPr>
            <w:r>
              <w:t xml:space="preserve">Российская Федерация. Законы. О безопасности критической информационной инфраструктуры Российской Федерации: Федеральный закон от 26.07.2017 № 187-ФЗ.</w:t>
            </w:r>
          </w:p>
        </w:tc>
        <w:tc>
          <w:tcPr>
            <w:tcW w:w="2900" w:type="dxa"/>
          </w:tcPr>
          <w:p>
            <w:pPr>
              <w:pStyle w:val="Compact"/>
              <w:jc w:val="left"/>
            </w:pPr>
            <w:r>
              <w:t xml:space="preserve">Закон об обязанностях субъектов критической информационной инфраструктуры.</w:t>
            </w:r>
          </w:p>
        </w:tc>
        <w:tc>
          <w:tcPr>
            <w:tcW w:w="2525" w:type="dxa"/>
          </w:tcPr>
          <w:p>
            <w:pPr>
              <w:pStyle w:val="Compact"/>
              <w:jc w:val="left"/>
            </w:pPr>
            <w:r>
              <w:t xml:space="preserve">Часть потенциальных заказчиков — субъекты КИИ, поэтому агент, работающий с их системами, попадает под требования закона.</w:t>
            </w:r>
          </w:p>
        </w:tc>
      </w:tr>
      <w:tr>
        <w:tc>
          <w:tcPr>
            <w:tcW w:w="467" w:type="dxa"/>
          </w:tcPr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>
            <w:tcW w:w="3461" w:type="dxa"/>
          </w:tcPr>
          <w:p>
            <w:pPr>
              <w:pStyle w:val="Compact"/>
              <w:jc w:val="left"/>
            </w:pPr>
            <w:r>
              <w:t xml:space="preserve">Российская Федерация. Законы. О персональных данных: Федеральный закон от 27.07.2006 № 152-ФЗ.</w:t>
            </w:r>
          </w:p>
        </w:tc>
        <w:tc>
          <w:tcPr>
            <w:tcW w:w="2900" w:type="dxa"/>
          </w:tcPr>
          <w:p>
            <w:pPr>
              <w:pStyle w:val="Compact"/>
              <w:jc w:val="left"/>
            </w:pPr>
            <w:r>
              <w:t xml:space="preserve">Закон о защите персональных данных.</w:t>
            </w:r>
          </w:p>
        </w:tc>
        <w:tc>
          <w:tcPr>
            <w:tcW w:w="2525" w:type="dxa"/>
          </w:tcPr>
          <w:p>
            <w:pPr>
              <w:pStyle w:val="Compact"/>
              <w:jc w:val="left"/>
            </w:pPr>
            <w:r>
              <w:t xml:space="preserve">Почта и учётные системы содержат персональные данные, поэтому защита от их вывода агентом обязательна.</w:t>
            </w:r>
          </w:p>
        </w:tc>
      </w:tr>
      <w:tr>
        <w:tc>
          <w:tcPr>
            <w:tcW w:w="467" w:type="dxa"/>
          </w:tcPr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>
            <w:tcW w:w="3461" w:type="dxa"/>
          </w:tcPr>
          <w:p>
            <w:pPr>
              <w:pStyle w:val="Compact"/>
              <w:jc w:val="left"/>
            </w:pPr>
            <w:r>
              <w:t xml:space="preserve">Об утверждении Требований о защите информации, содержащейся в государственных информационных системах, иных информационных системах государственных органов, государственных унитарных предприятий, государственных учреждений: приказ ФСТЭК России от 11.04.2025 № 117; проект изменений к нему в части применения технологий искусственного интеллекта (2026). — URL: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https://regulation.gov.ru</w:t>
              </w:r>
            </w:hyperlink>
            <w:r>
              <w:t xml:space="preserve"> </w:t>
            </w:r>
            <w:r>
              <w:t xml:space="preserve">(дата обращения: 26.10.2026).</w:t>
            </w:r>
          </w:p>
        </w:tc>
        <w:tc>
          <w:tcPr>
            <w:tcW w:w="2900" w:type="dxa"/>
          </w:tcPr>
          <w:p>
            <w:pPr>
              <w:pStyle w:val="Compact"/>
              <w:jc w:val="left"/>
            </w:pPr>
            <w:r>
              <w:t xml:space="preserve">Требования к защите информации в государственных информационных системах и проект изменений к ним о применении ИИ.</w:t>
            </w:r>
          </w:p>
        </w:tc>
        <w:tc>
          <w:tcPr>
            <w:tcW w:w="2525" w:type="dxa"/>
          </w:tcPr>
          <w:p>
            <w:pPr>
              <w:pStyle w:val="Compact"/>
              <w:jc w:val="left"/>
            </w:pPr>
            <w:r>
              <w:t xml:space="preserve">Требования выделять ИИ-системы в отдельный сегмент, ограничивать их права и защищать агентов от воздействия. Как это сделать для MCP-серверов, документы не говорят.</w:t>
            </w:r>
          </w:p>
        </w:tc>
      </w:tr>
      <w:tr>
        <w:tc>
          <w:tcPr>
            <w:tcW w:w="467" w:type="dxa"/>
          </w:tcPr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>
            <w:tcW w:w="3461" w:type="dxa"/>
          </w:tcPr>
          <w:p>
            <w:pPr>
              <w:pStyle w:val="Compact"/>
              <w:jc w:val="left"/>
            </w:pPr>
            <w:r>
              <w:t xml:space="preserve">Об утверждении Требований по безопасности информации к средствам контейнеризации: приказ ФСТЭК России от 04.07.2022 № 118 (зарегистрирован Минюстом России 29.09.2022 № 70275).</w:t>
            </w:r>
          </w:p>
        </w:tc>
        <w:tc>
          <w:tcPr>
            <w:tcW w:w="2900" w:type="dxa"/>
          </w:tcPr>
          <w:p>
            <w:pPr>
              <w:pStyle w:val="Compact"/>
              <w:jc w:val="left"/>
            </w:pPr>
            <w:r>
              <w:t xml:space="preserve">Требования к изоляции контейнеров, контролю целостности образов и регистрации событий безопасности.</w:t>
            </w:r>
          </w:p>
        </w:tc>
        <w:tc>
          <w:tcPr>
            <w:tcW w:w="2525" w:type="dxa"/>
          </w:tcPr>
          <w:p>
            <w:pPr>
              <w:pStyle w:val="Compact"/>
              <w:jc w:val="left"/>
            </w:pPr>
            <w:r>
              <w:t xml:space="preserve">MCP-серверы поставляются в контейнерах, поэтому требования напрямую относятся к методике.</w:t>
            </w:r>
          </w:p>
        </w:tc>
      </w:tr>
      <w:tr>
        <w:tc>
          <w:tcPr>
            <w:tcW w:w="467" w:type="dxa"/>
          </w:tcPr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>
            <w:tcW w:w="3461" w:type="dxa"/>
          </w:tcPr>
          <w:p>
            <w:pPr>
              <w:pStyle w:val="Compact"/>
              <w:jc w:val="left"/>
            </w:pPr>
            <w:r>
              <w:t xml:space="preserve">Конев А. А., Паюсова Т. И. Большие языковые модели в информационной безопасности и тестировании на проникновение: систематический обзор возможностей применения // Научно-технический вестник информационных технологий, механики и оптики. — 2025. — Т. 25, № 1. — С. 42–52. — DOI: 10.17586/2226-1494-2025-25-1-42-52.</w:t>
            </w:r>
          </w:p>
        </w:tc>
        <w:tc>
          <w:tcPr>
            <w:tcW w:w="2900" w:type="dxa"/>
          </w:tcPr>
          <w:p>
            <w:pPr>
              <w:pStyle w:val="Compact"/>
              <w:jc w:val="left"/>
            </w:pPr>
            <w:r>
              <w:t xml:space="preserve">Систематический обзор применения LLM в информационной безопасности и тестировании на проникновение.</w:t>
            </w:r>
          </w:p>
        </w:tc>
        <w:tc>
          <w:tcPr>
            <w:tcW w:w="2525" w:type="dxa"/>
          </w:tcPr>
          <w:p>
            <w:pPr>
              <w:pStyle w:val="Compact"/>
              <w:jc w:val="left"/>
            </w:pPr>
            <w:r>
              <w:t xml:space="preserve">Показывает состояние темы в российской науке: внимание уделено применению LLM для атаки и защиты, а защите самих агентов — меньше.</w:t>
            </w:r>
          </w:p>
        </w:tc>
      </w:tr>
    </w:tbl>
    <w:bookmarkStart w:id="38" w:name="выводы-по-обзору"/>
    <w:p>
      <w:pPr>
        <w:pStyle w:val="Heading3"/>
      </w:pPr>
      <w:r>
        <w:t xml:space="preserve">Выводы по обзору</w:t>
      </w:r>
    </w:p>
    <w:p>
      <w:pPr>
        <w:pStyle w:val="Compact"/>
        <w:numPr>
          <w:ilvl w:val="0"/>
          <w:numId w:val="1001"/>
        </w:numPr>
      </w:pPr>
      <w:r>
        <w:rPr>
          <w:sz w:val="24"/>
        </w:rPr>
        <w:t xml:space="preserve">Работы [2, 3, 5] показывают, что агента с инструментами можно заставить выполнить чужую инструкцию из данных, а надёжной защиты на уровне модели нет. Поэтому в работе используется подход ограничения ущерба: агент считается заведомо скомпрометированным, а защита строится в инфраструктуре вокруг него.</w:t>
      </w:r>
    </w:p>
    <w:p>
      <w:pPr>
        <w:pStyle w:val="Compact"/>
        <w:numPr>
          <w:ilvl w:val="0"/>
          <w:numId w:val="1001"/>
        </w:numPr>
      </w:pPr>
      <w:r>
        <w:rPr>
          <w:sz w:val="24"/>
        </w:rPr>
        <w:t xml:space="preserve">Обзор [1] и спецификация [6] перечисляют угрозы MCP, но не дают методики развёртывания серверов в инфраструктуре заказчика.</w:t>
      </w:r>
    </w:p>
    <w:p>
      <w:pPr>
        <w:pStyle w:val="Compact"/>
        <w:numPr>
          <w:ilvl w:val="0"/>
          <w:numId w:val="1001"/>
        </w:numPr>
      </w:pPr>
      <w:r>
        <w:rPr>
          <w:sz w:val="24"/>
        </w:rPr>
        <w:t xml:space="preserve">Руководство [7] и приказ [11] задают проверенные меры для контейнерных сред: сетевое разделение, минимальные права, контроль образов. Их можно перенести на MCP-серверы.</w:t>
      </w:r>
    </w:p>
    <w:p>
      <w:pPr>
        <w:pStyle w:val="Compact"/>
        <w:numPr>
          <w:ilvl w:val="0"/>
          <w:numId w:val="1001"/>
        </w:numPr>
      </w:pPr>
      <w:r>
        <w:rPr>
          <w:sz w:val="24"/>
        </w:rPr>
        <w:t xml:space="preserve">Российские нормативные документы [10, 11] уже требуют для ИИ-систем отдельный сегмент, минимальные права и защиту агентов от воздействия, но не говорят, как выполнить эти требования для MCP-серверов.</w:t>
      </w:r>
    </w:p>
    <w:p>
      <w:pPr>
        <w:pStyle w:val="Compact"/>
        <w:numPr>
          <w:ilvl w:val="0"/>
          <w:numId w:val="1001"/>
        </w:numPr>
      </w:pPr>
      <w:r>
        <w:rPr>
          <w:sz w:val="24"/>
        </w:rPr>
        <w:t xml:space="preserve">Нерешённым остаётся вопрос: какие меры развёртывания и в каком сочетании останавливают атаки на агента в закрытом контуре и какой ценой для пользователя. На него и отвечает ВКР.</w:t>
      </w:r>
    </w:p>
    <w:bookmarkEnd w:id="38"/>
    <w:bookmarkEnd w:id="39"/>
    <w:bookmarkStart w:id="46" w:name="Xaaa6eb1a03368fc8579f77ef052393180c1802f"/>
    <w:p>
      <w:pPr>
        <w:pStyle w:val="Heading2"/>
      </w:pPr>
      <w:r>
        <w:t xml:space="preserve">3. Обзор и сравнение аналогов</w:t>
      </w:r>
    </w:p>
    <w:bookmarkStart w:id="41" w:name="прямые-аналоги"/>
    <w:p>
      <w:pPr>
        <w:pStyle w:val="Heading3"/>
      </w:pPr>
      <w:r>
        <w:t xml:space="preserve">Прямые аналоги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sz w:val="24"/>
        </w:rPr>
        <w:t xml:space="preserve">Cisco MCP Scanner</w:t>
      </w:r>
      <w:r>
        <w:rPr>
          <w:sz w:val="24"/>
        </w:rPr>
        <w:t xml:space="preserve"> </w:t>
      </w:r>
      <w:r>
        <w:rPr>
          <w:sz w:val="24"/>
        </w:rPr>
        <w:t xml:space="preserve">(</w:t>
      </w:r>
      <w:hyperlink r:id="rId19">
        <w:r>
          <w:rPr>
            <w:rStyle w:val="Hyperlink"/>
          </w:rPr>
          <w:t xml:space="preserve">GitHub</w:t>
        </w:r>
      </w:hyperlink>
      <w:r>
        <w:rPr>
          <w:sz w:val="24"/>
        </w:rPr>
        <w:t xml:space="preserve">) — открытый сканер MCP-серверов: проверяет описания инструментов на скрытые инструкции и другие признаки угроз. Ограничения: проверяет сервер до подключения, но не контролирует вызовы во время работы, а часть проверок опирается на внешние сервисы анализа.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sz w:val="24"/>
        </w:rPr>
        <w:t xml:space="preserve">mcp-scan / Snyk Agent Scan</w:t>
      </w:r>
      <w:r>
        <w:rPr>
          <w:sz w:val="24"/>
        </w:rPr>
        <w:t xml:space="preserve"> </w:t>
      </w:r>
      <w:r>
        <w:rPr>
          <w:sz w:val="24"/>
        </w:rPr>
        <w:t xml:space="preserve">(</w:t>
      </w:r>
      <w:hyperlink r:id="rId18">
        <w:r>
          <w:rPr>
            <w:rStyle w:val="Hyperlink"/>
          </w:rPr>
          <w:t xml:space="preserve">GitHub</w:t>
        </w:r>
      </w:hyperlink>
      <w:r>
        <w:rPr>
          <w:sz w:val="24"/>
        </w:rPr>
        <w:t xml:space="preserve">) — сканер компонентов агента и MCP-серверов на prompt injection и tool poisoning. Ограничения: те же, что у сканера Cisco; права в целевой системе и сетевой доступ сервера не затрагивает.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sz w:val="24"/>
        </w:rPr>
        <w:t xml:space="preserve">AI Security Gateway</w:t>
      </w:r>
      <w:r>
        <w:rPr>
          <w:sz w:val="24"/>
        </w:rPr>
        <w:t xml:space="preserve"> </w:t>
      </w:r>
      <w:r>
        <w:rPr>
          <w:sz w:val="24"/>
        </w:rPr>
        <w:t xml:space="preserve">(</w:t>
      </w:r>
      <w:hyperlink r:id="rId40">
        <w:r>
          <w:rPr>
            <w:rStyle w:val="Hyperlink"/>
          </w:rPr>
          <w:t xml:space="preserve">описание</w:t>
        </w:r>
      </w:hyperlink>
      <w:r>
        <w:rPr>
          <w:sz w:val="24"/>
        </w:rPr>
        <w:t xml:space="preserve">) — MCP-шлюз, через который проходят все вызовы инструментов; фильтрует их и ведёт журнал. Ограничения: не ограничивает права служебной учётной записи в целевой системе и не останавливает критичное действие до решения человека.</w:t>
      </w:r>
    </w:p>
    <w:bookmarkEnd w:id="41"/>
    <w:bookmarkStart w:id="43" w:name="косвенные-аналоги"/>
    <w:p>
      <w:pPr>
        <w:pStyle w:val="Heading3"/>
      </w:pPr>
      <w:r>
        <w:t xml:space="preserve">Косвенные аналоги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sz w:val="24"/>
        </w:rPr>
        <w:t xml:space="preserve">NVIDIA NeMo Guardrails</w:t>
      </w:r>
      <w:r>
        <w:rPr>
          <w:sz w:val="24"/>
        </w:rPr>
        <w:t xml:space="preserve"> </w:t>
      </w:r>
      <w:r>
        <w:rPr>
          <w:sz w:val="24"/>
        </w:rPr>
        <w:t xml:space="preserve">(</w:t>
      </w:r>
      <w:hyperlink r:id="rId42">
        <w:r>
          <w:rPr>
            <w:rStyle w:val="Hyperlink"/>
          </w:rPr>
          <w:t xml:space="preserve">GitHub</w:t>
        </w:r>
      </w:hyperlink>
      <w:r>
        <w:rPr>
          <w:sz w:val="24"/>
        </w:rPr>
        <w:t xml:space="preserve">) — библиотека защитных фильтров для LLM-приложений: проверяет входы и выходы модели по заданным правилам. Работает локально. Ограничения: ничего не знает про MCP и целевые системы, не проверяет описания инструментов и не управляет инфраструктурой.</w:t>
      </w:r>
    </w:p>
    <w:bookmarkEnd w:id="43"/>
    <w:bookmarkStart w:id="44" w:name="таблица-сравнения"/>
    <w:p>
      <w:pPr>
        <w:pStyle w:val="Heading3"/>
      </w:pPr>
      <w:r>
        <w:t xml:space="preserve">Таблица сравнения</w:t>
      </w:r>
    </w:p>
    <w:p>
      <w:pPr>
        <w:pStyle w:val="FirstParagraph"/>
      </w:pPr>
      <w:r>
        <w:rPr>
          <w:b/>
          <w:bCs/>
        </w:rPr>
        <w:t xml:space="preserve">Почему выбраны эти критерии:</w:t>
      </w:r>
      <w:r>
        <w:t xml:space="preserve"> </w:t>
      </w:r>
      <w:r>
        <w:t xml:space="preserve">критерии следуют из модели угроз и условий эксплуатации. Первый критерий отражает требование закрытого контура: средство, которому нужны внешние сервисы, у заказчика неприменимо. Второй и третий критерии покрывают две главные атаки на агента: отравленные описания инструментов и инструкции, внедрённые в данные. Критерии с четвёртого по шестой оценивают меры ограничения ущерба, которые работают даже после успешной атаки. Седьмой критерий проверяет, повторяется ли защита на каждой установке без ручной настройки. Восьмой нужен для расследования инцидентов.</w:t>
      </w:r>
    </w:p>
    <w:tbl>
      <w:tblPr>
        <w:tblStyle w:val="Table"/>
        <w:tblLook w:firstRow="1" w:lastRow="0" w:firstColumn="0" w:lastColumn="0" w:noHBand="0" w:noVBand="0" w:val="002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W w:w="9355" w:type="dxa"/>
      </w:tblPr>
      <w:tblGrid>
        <w:gridCol w:w="2806"/>
        <w:gridCol w:w="1309"/>
        <w:gridCol w:w="1309"/>
        <w:gridCol w:w="1309"/>
        <w:gridCol w:w="1309"/>
        <w:gridCol w:w="1309"/>
      </w:tblGrid>
      <w:tr>
        <w:trPr>
          <w:tblHeader w:val="on"/>
        </w:trPr>
        <w:tc>
          <w:tcPr>
            <w:tcW w:w="2806" w:type="dxa"/>
          </w:tcPr>
          <w:p>
            <w:pPr>
              <w:pStyle w:val="Compact"/>
              <w:jc w:val="left"/>
            </w:pPr>
            <w:r>
              <w:t xml:space="preserve">Критерий</w:t>
            </w:r>
          </w:p>
        </w:tc>
        <w:tc>
          <w:tcPr>
            <w:tcW w:w="1309" w:type="dxa"/>
          </w:tcPr>
          <w:p>
            <w:pPr>
              <w:pStyle w:val="Compact"/>
              <w:jc w:val="center"/>
            </w:pPr>
            <w:r>
              <w:t xml:space="preserve">Cisco MCP Scanner</w:t>
            </w:r>
          </w:p>
        </w:tc>
        <w:tc>
          <w:tcPr>
            <w:tcW w:w="1309" w:type="dxa"/>
          </w:tcPr>
          <w:p>
            <w:pPr>
              <w:pStyle w:val="Compact"/>
              <w:jc w:val="center"/>
            </w:pPr>
            <w:r>
              <w:t xml:space="preserve">mcp-scan</w:t>
            </w:r>
          </w:p>
        </w:tc>
        <w:tc>
          <w:tcPr>
            <w:tcW w:w="1309" w:type="dxa"/>
          </w:tcPr>
          <w:p>
            <w:pPr>
              <w:pStyle w:val="Compact"/>
              <w:jc w:val="center"/>
            </w:pPr>
            <w:r>
              <w:t xml:space="preserve">AI Security Gateway</w:t>
            </w:r>
          </w:p>
        </w:tc>
        <w:tc>
          <w:tcPr>
            <w:tcW w:w="1309" w:type="dxa"/>
          </w:tcPr>
          <w:p>
            <w:pPr>
              <w:pStyle w:val="Compact"/>
              <w:jc w:val="center"/>
            </w:pPr>
            <w:r>
              <w:t xml:space="preserve">NeMo Guardrails (косвенный)</w:t>
            </w:r>
          </w:p>
        </w:tc>
        <w:tc>
          <w:tcPr>
            <w:tcW w:w="1309" w:type="dxa"/>
          </w:tcPr>
          <w:p>
            <w:pPr>
              <w:pStyle w:val="Compact"/>
              <w:jc w:val="center"/>
            </w:pPr>
            <w:r>
              <w:t xml:space="preserve">Наше решение (план)</w:t>
            </w:r>
          </w:p>
        </w:tc>
      </w:tr>
      <w:tr>
        <w:tc>
          <w:tcPr>
            <w:tcW w:w="2806" w:type="dxa"/>
          </w:tcPr>
          <w:p>
            <w:pPr>
              <w:pStyle w:val="Compact"/>
              <w:jc w:val="left"/>
            </w:pPr>
            <w:r>
              <w:t xml:space="preserve">Работа в изолированном контуре без внешних сервисов</w:t>
            </w:r>
          </w:p>
        </w:tc>
        <w:tc>
          <w:tcPr>
            <w:tcW w:w="1309" w:type="dxa"/>
          </w:tcPr>
          <w:p>
            <w:pPr>
              <w:pStyle w:val="Compact"/>
              <w:jc w:val="center"/>
            </w:pPr>
            <w:r>
              <w:t xml:space="preserve">±</w:t>
            </w:r>
          </w:p>
        </w:tc>
        <w:tc>
          <w:tcPr>
            <w:tcW w:w="1309" w:type="dxa"/>
          </w:tcPr>
          <w:p>
            <w:pPr>
              <w:pStyle w:val="Compact"/>
              <w:jc w:val="center"/>
            </w:pPr>
            <w:r>
              <w:t xml:space="preserve">±</w:t>
            </w:r>
          </w:p>
        </w:tc>
        <w:tc>
          <w:tcPr>
            <w:tcW w:w="1309" w:type="dxa"/>
          </w:tcPr>
          <w:p>
            <w:pPr>
              <w:pStyle w:val="Compact"/>
              <w:jc w:val="center"/>
            </w:pPr>
            <w:r>
              <w:t xml:space="preserve">±</w:t>
            </w:r>
          </w:p>
        </w:tc>
        <w:tc>
          <w:tcPr>
            <w:tcW w:w="1309" w:type="dxa"/>
          </w:tcPr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>
            <w:tcW w:w="1309" w:type="dxa"/>
          </w:tcPr>
          <w:p>
            <w:pPr>
              <w:pStyle w:val="Compact"/>
              <w:jc w:val="center"/>
            </w:pPr>
            <w:r>
              <w:t xml:space="preserve">+</w:t>
            </w:r>
          </w:p>
        </w:tc>
      </w:tr>
      <w:tr>
        <w:tc>
          <w:tcPr>
            <w:tcW w:w="2806" w:type="dxa"/>
          </w:tcPr>
          <w:p>
            <w:pPr>
              <w:pStyle w:val="Compact"/>
              <w:jc w:val="left"/>
            </w:pPr>
            <w:r>
              <w:t xml:space="preserve">Проверка описаний инструментов на tool poisoning</w:t>
            </w:r>
          </w:p>
        </w:tc>
        <w:tc>
          <w:tcPr>
            <w:tcW w:w="1309" w:type="dxa"/>
          </w:tcPr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>
            <w:tcW w:w="1309" w:type="dxa"/>
          </w:tcPr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>
            <w:tcW w:w="1309" w:type="dxa"/>
          </w:tcPr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>
            <w:tcW w:w="1309" w:type="dxa"/>
          </w:tcPr>
          <w:p>
            <w:pPr>
              <w:pStyle w:val="Compact"/>
              <w:jc w:val="center"/>
            </w:pPr>
            <w:r>
              <w:t xml:space="preserve">−</w:t>
            </w:r>
          </w:p>
        </w:tc>
        <w:tc>
          <w:tcPr>
            <w:tcW w:w="1309" w:type="dxa"/>
          </w:tcPr>
          <w:p>
            <w:pPr>
              <w:pStyle w:val="Compact"/>
              <w:jc w:val="center"/>
            </w:pPr>
            <w:r>
              <w:t xml:space="preserve">+</w:t>
            </w:r>
          </w:p>
        </w:tc>
      </w:tr>
      <w:tr>
        <w:tc>
          <w:tcPr>
            <w:tcW w:w="2806" w:type="dxa"/>
          </w:tcPr>
          <w:p>
            <w:pPr>
              <w:pStyle w:val="Compact"/>
              <w:jc w:val="left"/>
            </w:pPr>
            <w:r>
              <w:t xml:space="preserve">Защита от инструкций, внедрённых в данные</w:t>
            </w:r>
          </w:p>
        </w:tc>
        <w:tc>
          <w:tcPr>
            <w:tcW w:w="1309" w:type="dxa"/>
          </w:tcPr>
          <w:p>
            <w:pPr>
              <w:pStyle w:val="Compact"/>
              <w:jc w:val="center"/>
            </w:pPr>
            <w:r>
              <w:t xml:space="preserve">−</w:t>
            </w:r>
          </w:p>
        </w:tc>
        <w:tc>
          <w:tcPr>
            <w:tcW w:w="1309" w:type="dxa"/>
          </w:tcPr>
          <w:p>
            <w:pPr>
              <w:pStyle w:val="Compact"/>
              <w:jc w:val="center"/>
            </w:pPr>
            <w:r>
              <w:t xml:space="preserve">±</w:t>
            </w:r>
          </w:p>
        </w:tc>
        <w:tc>
          <w:tcPr>
            <w:tcW w:w="1309" w:type="dxa"/>
          </w:tcPr>
          <w:p>
            <w:pPr>
              <w:pStyle w:val="Compact"/>
              <w:jc w:val="center"/>
            </w:pPr>
            <w:r>
              <w:t xml:space="preserve">±</w:t>
            </w:r>
          </w:p>
        </w:tc>
        <w:tc>
          <w:tcPr>
            <w:tcW w:w="1309" w:type="dxa"/>
          </w:tcPr>
          <w:p>
            <w:pPr>
              <w:pStyle w:val="Compact"/>
              <w:jc w:val="center"/>
            </w:pPr>
            <w:r>
              <w:t xml:space="preserve">±</w:t>
            </w:r>
          </w:p>
        </w:tc>
        <w:tc>
          <w:tcPr>
            <w:tcW w:w="1309" w:type="dxa"/>
          </w:tcPr>
          <w:p>
            <w:pPr>
              <w:pStyle w:val="Compact"/>
              <w:jc w:val="center"/>
            </w:pPr>
            <w:r>
              <w:t xml:space="preserve">±</w:t>
            </w:r>
          </w:p>
        </w:tc>
      </w:tr>
      <w:tr>
        <w:tc>
          <w:tcPr>
            <w:tcW w:w="2806" w:type="dxa"/>
          </w:tcPr>
          <w:p>
            <w:pPr>
              <w:pStyle w:val="Compact"/>
              <w:jc w:val="left"/>
            </w:pPr>
            <w:r>
              <w:t xml:space="preserve">Подтверждение критичных действий человеком</w:t>
            </w:r>
          </w:p>
        </w:tc>
        <w:tc>
          <w:tcPr>
            <w:tcW w:w="1309" w:type="dxa"/>
          </w:tcPr>
          <w:p>
            <w:pPr>
              <w:pStyle w:val="Compact"/>
              <w:jc w:val="center"/>
            </w:pPr>
            <w:r>
              <w:t xml:space="preserve">−</w:t>
            </w:r>
          </w:p>
        </w:tc>
        <w:tc>
          <w:tcPr>
            <w:tcW w:w="1309" w:type="dxa"/>
          </w:tcPr>
          <w:p>
            <w:pPr>
              <w:pStyle w:val="Compact"/>
              <w:jc w:val="center"/>
            </w:pPr>
            <w:r>
              <w:t xml:space="preserve">−</w:t>
            </w:r>
          </w:p>
        </w:tc>
        <w:tc>
          <w:tcPr>
            <w:tcW w:w="1309" w:type="dxa"/>
          </w:tcPr>
          <w:p>
            <w:pPr>
              <w:pStyle w:val="Compact"/>
              <w:jc w:val="center"/>
            </w:pPr>
            <w:r>
              <w:t xml:space="preserve">−</w:t>
            </w:r>
          </w:p>
        </w:tc>
        <w:tc>
          <w:tcPr>
            <w:tcW w:w="1309" w:type="dxa"/>
          </w:tcPr>
          <w:p>
            <w:pPr>
              <w:pStyle w:val="Compact"/>
              <w:jc w:val="center"/>
            </w:pPr>
            <w:r>
              <w:t xml:space="preserve">−</w:t>
            </w:r>
          </w:p>
        </w:tc>
        <w:tc>
          <w:tcPr>
            <w:tcW w:w="1309" w:type="dxa"/>
          </w:tcPr>
          <w:p>
            <w:pPr>
              <w:pStyle w:val="Compact"/>
              <w:jc w:val="center"/>
            </w:pPr>
            <w:r>
              <w:t xml:space="preserve">+</w:t>
            </w:r>
          </w:p>
        </w:tc>
      </w:tr>
      <w:tr>
        <w:tc>
          <w:tcPr>
            <w:tcW w:w="2806" w:type="dxa"/>
          </w:tcPr>
          <w:p>
            <w:pPr>
              <w:pStyle w:val="Compact"/>
              <w:jc w:val="left"/>
            </w:pPr>
            <w:r>
              <w:t xml:space="preserve">Минимальные права в целевой системе (1С, почта)</w:t>
            </w:r>
          </w:p>
        </w:tc>
        <w:tc>
          <w:tcPr>
            <w:tcW w:w="1309" w:type="dxa"/>
          </w:tcPr>
          <w:p>
            <w:pPr>
              <w:pStyle w:val="Compact"/>
              <w:jc w:val="center"/>
            </w:pPr>
            <w:r>
              <w:t xml:space="preserve">−</w:t>
            </w:r>
          </w:p>
        </w:tc>
        <w:tc>
          <w:tcPr>
            <w:tcW w:w="1309" w:type="dxa"/>
          </w:tcPr>
          <w:p>
            <w:pPr>
              <w:pStyle w:val="Compact"/>
              <w:jc w:val="center"/>
            </w:pPr>
            <w:r>
              <w:t xml:space="preserve">−</w:t>
            </w:r>
          </w:p>
        </w:tc>
        <w:tc>
          <w:tcPr>
            <w:tcW w:w="1309" w:type="dxa"/>
          </w:tcPr>
          <w:p>
            <w:pPr>
              <w:pStyle w:val="Compact"/>
              <w:jc w:val="center"/>
            </w:pPr>
            <w:r>
              <w:t xml:space="preserve">±</w:t>
            </w:r>
          </w:p>
        </w:tc>
        <w:tc>
          <w:tcPr>
            <w:tcW w:w="1309" w:type="dxa"/>
          </w:tcPr>
          <w:p>
            <w:pPr>
              <w:pStyle w:val="Compact"/>
              <w:jc w:val="center"/>
            </w:pPr>
            <w:r>
              <w:t xml:space="preserve">−</w:t>
            </w:r>
          </w:p>
        </w:tc>
        <w:tc>
          <w:tcPr>
            <w:tcW w:w="1309" w:type="dxa"/>
          </w:tcPr>
          <w:p>
            <w:pPr>
              <w:pStyle w:val="Compact"/>
              <w:jc w:val="center"/>
            </w:pPr>
            <w:r>
              <w:t xml:space="preserve">+</w:t>
            </w:r>
          </w:p>
        </w:tc>
      </w:tr>
      <w:tr>
        <w:tc>
          <w:tcPr>
            <w:tcW w:w="2806" w:type="dxa"/>
          </w:tcPr>
          <w:p>
            <w:pPr>
              <w:pStyle w:val="Compact"/>
              <w:jc w:val="left"/>
            </w:pPr>
            <w:r>
              <w:t xml:space="preserve">Сетевая изоляция каждого сервера</w:t>
            </w:r>
          </w:p>
        </w:tc>
        <w:tc>
          <w:tcPr>
            <w:tcW w:w="1309" w:type="dxa"/>
          </w:tcPr>
          <w:p>
            <w:pPr>
              <w:pStyle w:val="Compact"/>
              <w:jc w:val="center"/>
            </w:pPr>
            <w:r>
              <w:t xml:space="preserve">−</w:t>
            </w:r>
          </w:p>
        </w:tc>
        <w:tc>
          <w:tcPr>
            <w:tcW w:w="1309" w:type="dxa"/>
          </w:tcPr>
          <w:p>
            <w:pPr>
              <w:pStyle w:val="Compact"/>
              <w:jc w:val="center"/>
            </w:pPr>
            <w:r>
              <w:t xml:space="preserve">−</w:t>
            </w:r>
          </w:p>
        </w:tc>
        <w:tc>
          <w:tcPr>
            <w:tcW w:w="1309" w:type="dxa"/>
          </w:tcPr>
          <w:p>
            <w:pPr>
              <w:pStyle w:val="Compact"/>
              <w:jc w:val="center"/>
            </w:pPr>
            <w:r>
              <w:t xml:space="preserve">−</w:t>
            </w:r>
          </w:p>
        </w:tc>
        <w:tc>
          <w:tcPr>
            <w:tcW w:w="1309" w:type="dxa"/>
          </w:tcPr>
          <w:p>
            <w:pPr>
              <w:pStyle w:val="Compact"/>
              <w:jc w:val="center"/>
            </w:pPr>
            <w:r>
              <w:t xml:space="preserve">−</w:t>
            </w:r>
          </w:p>
        </w:tc>
        <w:tc>
          <w:tcPr>
            <w:tcW w:w="1309" w:type="dxa"/>
          </w:tcPr>
          <w:p>
            <w:pPr>
              <w:pStyle w:val="Compact"/>
              <w:jc w:val="center"/>
            </w:pPr>
            <w:r>
              <w:t xml:space="preserve">+</w:t>
            </w:r>
          </w:p>
        </w:tc>
      </w:tr>
      <w:tr>
        <w:tc>
          <w:tcPr>
            <w:tcW w:w="2806" w:type="dxa"/>
          </w:tcPr>
          <w:p>
            <w:pPr>
              <w:pStyle w:val="Compact"/>
              <w:jc w:val="left"/>
            </w:pPr>
            <w:r>
              <w:t xml:space="preserve">Меры встроены в конвейер поставки</w:t>
            </w:r>
          </w:p>
        </w:tc>
        <w:tc>
          <w:tcPr>
            <w:tcW w:w="1309" w:type="dxa"/>
          </w:tcPr>
          <w:p>
            <w:pPr>
              <w:pStyle w:val="Compact"/>
              <w:jc w:val="center"/>
            </w:pPr>
            <w:r>
              <w:t xml:space="preserve">±</w:t>
            </w:r>
          </w:p>
        </w:tc>
        <w:tc>
          <w:tcPr>
            <w:tcW w:w="1309" w:type="dxa"/>
          </w:tcPr>
          <w:p>
            <w:pPr>
              <w:pStyle w:val="Compact"/>
              <w:jc w:val="center"/>
            </w:pPr>
            <w:r>
              <w:t xml:space="preserve">±</w:t>
            </w:r>
          </w:p>
        </w:tc>
        <w:tc>
          <w:tcPr>
            <w:tcW w:w="1309" w:type="dxa"/>
          </w:tcPr>
          <w:p>
            <w:pPr>
              <w:pStyle w:val="Compact"/>
              <w:jc w:val="center"/>
            </w:pPr>
            <w:r>
              <w:t xml:space="preserve">−</w:t>
            </w:r>
          </w:p>
        </w:tc>
        <w:tc>
          <w:tcPr>
            <w:tcW w:w="1309" w:type="dxa"/>
          </w:tcPr>
          <w:p>
            <w:pPr>
              <w:pStyle w:val="Compact"/>
              <w:jc w:val="center"/>
            </w:pPr>
            <w:r>
              <w:t xml:space="preserve">−</w:t>
            </w:r>
          </w:p>
        </w:tc>
        <w:tc>
          <w:tcPr>
            <w:tcW w:w="1309" w:type="dxa"/>
          </w:tcPr>
          <w:p>
            <w:pPr>
              <w:pStyle w:val="Compact"/>
              <w:jc w:val="center"/>
            </w:pPr>
            <w:r>
              <w:t xml:space="preserve">+</w:t>
            </w:r>
          </w:p>
        </w:tc>
      </w:tr>
      <w:tr>
        <w:tc>
          <w:tcPr>
            <w:tcW w:w="2806" w:type="dxa"/>
          </w:tcPr>
          <w:p>
            <w:pPr>
              <w:pStyle w:val="Compact"/>
              <w:jc w:val="left"/>
            </w:pPr>
            <w:r>
              <w:t xml:space="preserve">Аудит вызовов инструментов</w:t>
            </w:r>
          </w:p>
        </w:tc>
        <w:tc>
          <w:tcPr>
            <w:tcW w:w="1309" w:type="dxa"/>
          </w:tcPr>
          <w:p>
            <w:pPr>
              <w:pStyle w:val="Compact"/>
              <w:jc w:val="center"/>
            </w:pPr>
            <w:r>
              <w:t xml:space="preserve">−</w:t>
            </w:r>
          </w:p>
        </w:tc>
        <w:tc>
          <w:tcPr>
            <w:tcW w:w="1309" w:type="dxa"/>
          </w:tcPr>
          <w:p>
            <w:pPr>
              <w:pStyle w:val="Compact"/>
              <w:jc w:val="center"/>
            </w:pPr>
            <w:r>
              <w:t xml:space="preserve">±</w:t>
            </w:r>
          </w:p>
        </w:tc>
        <w:tc>
          <w:tcPr>
            <w:tcW w:w="1309" w:type="dxa"/>
          </w:tcPr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>
            <w:tcW w:w="1309" w:type="dxa"/>
          </w:tcPr>
          <w:p>
            <w:pPr>
              <w:pStyle w:val="Compact"/>
              <w:jc w:val="center"/>
            </w:pPr>
            <w:r>
              <w:t xml:space="preserve">−</w:t>
            </w:r>
          </w:p>
        </w:tc>
        <w:tc>
          <w:tcPr>
            <w:tcW w:w="1309" w:type="dxa"/>
          </w:tcPr>
          <w:p>
            <w:pPr>
              <w:pStyle w:val="Compact"/>
              <w:jc w:val="center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Обозначения: «+» — поддерживается, «±» — поддерживается частично, «−» — не поддерживается. Оценки аналогов сделаны по их документации. В столбце «Наше решение (план)» указаны планируемые свойства методики. Подтверждение критичных действий человеком в платформе уже есть, а проверка описаний на tool poisoning, сетевая изоляция всех серверов и аудит — цели ВКР.</w:t>
      </w:r>
    </w:p>
    <w:bookmarkEnd w:id="44"/>
    <w:bookmarkStart w:id="45" w:name="выводы-по-сравнению"/>
    <w:p>
      <w:pPr>
        <w:pStyle w:val="Heading3"/>
      </w:pPr>
      <w:r>
        <w:t xml:space="preserve">Выводы по сравнению</w:t>
      </w:r>
    </w:p>
    <w:p>
      <w:pPr>
        <w:pStyle w:val="Compact"/>
        <w:numPr>
          <w:ilvl w:val="0"/>
          <w:numId w:val="1004"/>
        </w:numPr>
      </w:pPr>
      <w:r>
        <w:rPr>
          <w:sz w:val="24"/>
        </w:rPr>
        <w:t xml:space="preserve">Аналоги защищают сам протокол MCP, но не целевую систему: права служебной учётной записи в 1С и сетевой доступ сервера они не затрагивают. Это ограничение ВКР устраняет.</w:t>
      </w:r>
    </w:p>
    <w:p>
      <w:pPr>
        <w:pStyle w:val="Compact"/>
        <w:numPr>
          <w:ilvl w:val="0"/>
          <w:numId w:val="1004"/>
        </w:numPr>
      </w:pPr>
      <w:r>
        <w:rPr>
          <w:sz w:val="24"/>
        </w:rPr>
        <w:t xml:space="preserve">Ни один аналог не останавливает критичное действие до подтверждения человеком, хотя только эта мера срабатывает даже при успешной prompt injection.</w:t>
      </w:r>
    </w:p>
    <w:p>
      <w:pPr>
        <w:pStyle w:val="Compact"/>
        <w:numPr>
          <w:ilvl w:val="0"/>
          <w:numId w:val="1004"/>
        </w:numPr>
      </w:pPr>
      <w:r>
        <w:rPr>
          <w:sz w:val="24"/>
        </w:rPr>
        <w:t xml:space="preserve">Полной защиты от инструкций в данных не даёт никто, поэтому ВКР нацелена на ограничение ущерба, а не на полное предотвращение атаки.</w:t>
      </w:r>
    </w:p>
    <w:p>
      <w:pPr>
        <w:pStyle w:val="Compact"/>
        <w:numPr>
          <w:ilvl w:val="0"/>
          <w:numId w:val="1004"/>
        </w:numPr>
      </w:pPr>
      <w:r>
        <w:rPr>
          <w:sz w:val="24"/>
        </w:rPr>
        <w:t xml:space="preserve">Из существующих решений можно взять сканеры описаний инструментов: их стоит встроить в конвейер поставки как шаг проверки сторонних серверов, если они работают без внешних сервисов. Сканеры также служат базовой линией в эксперименте.</w:t>
      </w:r>
    </w:p>
    <w:bookmarkEnd w:id="45"/>
    <w:bookmarkEnd w:id="46"/>
    <w:bookmarkStart w:id="52" w:name="Xf618df01bc798f56df6c79929eae7c394269418"/>
    <w:p>
      <w:pPr>
        <w:pStyle w:val="Heading2"/>
      </w:pPr>
      <w:r>
        <w:t xml:space="preserve">4. Итоги</w:t>
      </w:r>
    </w:p>
    <w:p>
      <w:pPr>
        <w:pStyle w:val="FirstParagraph"/>
      </w:pPr>
      <w:r>
        <w:rPr>
          <w:b/>
          <w:bCs/>
        </w:rPr>
        <w:t xml:space="preserve">Итоговая тема ВКР:</w:t>
      </w:r>
      <w:r>
        <w:t xml:space="preserve"> </w:t>
      </w:r>
      <w:r>
        <w:t xml:space="preserve">«Разработка методики безопасного развёртывания MCP-серверов для интеграции LLM-агентов с корпоративными системами в изолированных контурах». Тема по итогам обзора не изменилась.</w:t>
      </w:r>
    </w:p>
    <w:p>
      <w:pPr>
        <w:pStyle w:val="BodyText"/>
      </w:pPr>
      <w:r>
        <w:rPr>
          <w:b/>
          <w:bCs/>
        </w:rPr>
        <w:t xml:space="preserve">УДК для тезиса:</w:t>
      </w:r>
      <w:r>
        <w:t xml:space="preserve"> </w:t>
      </w:r>
      <w:r>
        <w:t xml:space="preserve">004.056 (защита информации), дополнительно 004.8 (искусственный интеллект).</w:t>
      </w:r>
    </w:p>
    <w:p>
      <w:pPr>
        <w:pStyle w:val="BodyText"/>
      </w:pPr>
      <w:r>
        <w:rPr>
          <w:b/>
          <w:bCs/>
        </w:rPr>
        <w:t xml:space="preserve">Ключевые слова:</w:t>
      </w:r>
      <w:r>
        <w:t xml:space="preserve"> </w:t>
      </w:r>
      <w:r>
        <w:t xml:space="preserve">LLM-агенты, Model Context Protocol, MCP, prompt injection, tool poisoning, модель угроз, DevSecOps, MLOps, изолированный контур, минимальные привилегии, human-in-the-loop.</w:t>
      </w:r>
    </w:p>
    <w:bookmarkStart w:id="47" w:name="актуальность-исследования"/>
    <w:p>
      <w:pPr>
        <w:pStyle w:val="Heading3"/>
      </w:pPr>
      <w:r>
        <w:t xml:space="preserve">Актуальность исследования</w:t>
      </w:r>
    </w:p>
    <w:p>
      <w:pPr>
        <w:pStyle w:val="FirstParagraph"/>
      </w:pPr>
      <w:r>
        <w:t xml:space="preserve">Компании подключают LLM-агентов к рабочим системам через MCP, и агент получает право изменять данные и отправлять письма. Исследования [2, 3, 5] показывают, что такого агента можно заставить выполнить чужую инструкцию из письма или документа, а надёжной защиты на уровне модели нет. Одновременно ФСТЭК России готовит требования к защите ИИ-систем, которые вступают в силу 1 марта 2027 года [10]. Существующие средства защищают сам протокол, но не ограничивают ущерб в целевой системе и часто требуют внешних сервисов, недоступных в закрытом контуре (раздел 3).</w:t>
      </w:r>
    </w:p>
    <w:bookmarkEnd w:id="47"/>
    <w:bookmarkStart w:id="48" w:name="цель-исследования"/>
    <w:p>
      <w:pPr>
        <w:pStyle w:val="Heading3"/>
      </w:pPr>
      <w:r>
        <w:t xml:space="preserve">Цель исследования</w:t>
      </w:r>
    </w:p>
    <w:p>
      <w:pPr>
        <w:pStyle w:val="FirstParagraph"/>
      </w:pPr>
      <w:r>
        <w:t xml:space="preserve">За счёт мер, встроенных в развёртывание MCP-серверов, не дать агенту, которым управляет злоумышленник, выполнить несанкционированную операцию в корпоративной системе или вывести данные за её пределы.</w:t>
      </w:r>
    </w:p>
    <w:bookmarkEnd w:id="48"/>
    <w:bookmarkStart w:id="49" w:name="задачи-исследования"/>
    <w:p>
      <w:pPr>
        <w:pStyle w:val="Heading3"/>
      </w:pPr>
      <w:r>
        <w:t xml:space="preserve">Задачи исследования</w:t>
      </w:r>
    </w:p>
    <w:p>
      <w:pPr>
        <w:pStyle w:val="Compact"/>
        <w:numPr>
          <w:ilvl w:val="0"/>
          <w:numId w:val="1005"/>
        </w:numPr>
      </w:pPr>
      <w:r>
        <w:rPr>
          <w:sz w:val="24"/>
        </w:rPr>
        <w:t xml:space="preserve">Построить модель угроз для связки «агент — MCP-сервер — корпоративная система» по методике STRIDE и перечню OWASP Top 10 for LLM.</w:t>
      </w:r>
    </w:p>
    <w:p>
      <w:pPr>
        <w:pStyle w:val="Compact"/>
        <w:numPr>
          <w:ilvl w:val="0"/>
          <w:numId w:val="1005"/>
        </w:numPr>
      </w:pPr>
      <w:r>
        <w:rPr>
          <w:sz w:val="24"/>
        </w:rPr>
        <w:t xml:space="preserve">Сравнить существующие средства защиты MCP и определить, какие угрозы они не закрывают.</w:t>
      </w:r>
    </w:p>
    <w:p>
      <w:pPr>
        <w:pStyle w:val="Compact"/>
        <w:numPr>
          <w:ilvl w:val="0"/>
          <w:numId w:val="1005"/>
        </w:numPr>
      </w:pPr>
      <w:r>
        <w:rPr>
          <w:sz w:val="24"/>
        </w:rPr>
        <w:t xml:space="preserve">Разработать набор мер: сетевые политики на каждый сервер, минимальные права служебных учётных записей, управление секретами, подтверждение критичных действий человеком, проверка сторонних серверов, аудит вызовов.</w:t>
      </w:r>
    </w:p>
    <w:p>
      <w:pPr>
        <w:pStyle w:val="Compact"/>
        <w:numPr>
          <w:ilvl w:val="0"/>
          <w:numId w:val="1005"/>
        </w:numPr>
      </w:pPr>
      <w:r>
        <w:rPr>
          <w:sz w:val="24"/>
        </w:rPr>
        <w:t xml:space="preserve">Встроить меры в конвейер поставки так, чтобы установка без них не проходила проверку.</w:t>
      </w:r>
    </w:p>
    <w:p>
      <w:pPr>
        <w:pStyle w:val="Compact"/>
        <w:numPr>
          <w:ilvl w:val="0"/>
          <w:numId w:val="1005"/>
        </w:numPr>
      </w:pPr>
      <w:r>
        <w:rPr>
          <w:sz w:val="24"/>
        </w:rPr>
        <w:t xml:space="preserve">Прогнать набор атакующих сценариев на стенде без мер и с мерами и измерить долю остановленных атак, число лишних запросов подтверждения и задержку вызовов инструментов.</w:t>
      </w:r>
    </w:p>
    <w:bookmarkEnd w:id="49"/>
    <w:bookmarkStart w:id="51" w:name="датасеты-и-сервисы"/>
    <w:p>
      <w:pPr>
        <w:pStyle w:val="Heading3"/>
      </w:pPr>
      <w:r>
        <w:t xml:space="preserve">Датасеты и сервисы</w:t>
      </w:r>
    </w:p>
    <w:p>
      <w:pPr>
        <w:pStyle w:val="Compact"/>
        <w:numPr>
          <w:ilvl w:val="0"/>
          <w:numId w:val="1006"/>
        </w:numPr>
      </w:pPr>
      <w:r>
        <w:rPr>
          <w:b/>
          <w:bCs/>
          <w:sz w:val="24"/>
        </w:rPr>
        <w:t xml:space="preserve">AgentDojo</w:t>
      </w:r>
      <w:r>
        <w:rPr>
          <w:sz w:val="24"/>
        </w:rPr>
        <w:t xml:space="preserve"> </w:t>
      </w:r>
      <w:r>
        <w:rPr>
          <w:sz w:val="24"/>
        </w:rPr>
        <w:t xml:space="preserve">[3] (</w:t>
      </w:r>
      <w:hyperlink r:id="rId50">
        <w:r>
          <w:rPr>
            <w:rStyle w:val="Hyperlink"/>
          </w:rPr>
          <w:t xml:space="preserve">GitHub</w:t>
        </w:r>
      </w:hyperlink>
      <w:r>
        <w:rPr>
          <w:sz w:val="24"/>
        </w:rPr>
        <w:t xml:space="preserve">) — открытый бенчмарк с готовыми сценариями prompt injection для агентов с инструментами, в том числе почтовых. Нужен как воспроизводимая часть атакующего набора. Доступен открыто.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  <w:sz w:val="24"/>
        </w:rPr>
        <w:t xml:space="preserve">Собственный набор атакующих сценариев</w:t>
      </w:r>
      <w:r>
        <w:rPr>
          <w:sz w:val="24"/>
        </w:rPr>
        <w:t xml:space="preserve"> </w:t>
      </w:r>
      <w:r>
        <w:rPr>
          <w:sz w:val="24"/>
        </w:rPr>
        <w:t xml:space="preserve">под 1С и почту: письма с внедрёнными инструкциями, попытки записи и вывода данных, отравленные описания инструментов. Нужен, потому что в открытых наборах нет сценариев для 1С. Будет собран в ходе работы. Тексты инъекций не публикуются, в отчётах приводятся классы сценариев и статистика.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  <w:sz w:val="24"/>
        </w:rPr>
        <w:t xml:space="preserve">Собственные стенды</w:t>
      </w:r>
      <w:r>
        <w:rPr>
          <w:sz w:val="24"/>
        </w:rPr>
        <w:t xml:space="preserve"> </w:t>
      </w:r>
      <w:r>
        <w:rPr>
          <w:sz w:val="24"/>
        </w:rPr>
        <w:t xml:space="preserve">— тестовый и предрелизный контуры платформы с тестовыми базами 1С и тестовым почтовым ящиком. Нужны для эксперимента: атаки прогоняются только на тестовых данных. Доступ есть у автора, публично стенды не открываются.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  <w:sz w:val="24"/>
        </w:rPr>
        <w:t xml:space="preserve">Cisco MCP Scanner и mcp-scan</w:t>
      </w:r>
      <w:r>
        <w:rPr>
          <w:sz w:val="24"/>
        </w:rPr>
        <w:t xml:space="preserve"> </w:t>
      </w:r>
      <w:r>
        <w:rPr>
          <w:sz w:val="24"/>
        </w:rPr>
        <w:t xml:space="preserve">— открытые сканеры, базовая линия для сравнения.</w:t>
      </w:r>
    </w:p>
    <w:bookmarkEnd w:id="51"/>
    <w:bookmarkEnd w:id="52"/>
    <w:bookmarkEnd w:id="53"/>
    <w:sectPr>
      <w:footnotePr>
        <w:numRestart w:val="eachSect"/>
      </w:footnotePr>
      <w:pgSz w:w="11906" w:h="16838"/>
      <w:pgMar w:left="1701" w:right="850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sz w:val="24"/>
      <w:szCs w:val="24"/>
    </w:rPr>
  </w:style>
  <w:style w:styleId="BodyText" w:type="paragraph">
    <w:name w:val="Body Text"/>
    <w:basedOn w:val="Normal"/>
    <w:link w:val="BodyTextChar"/>
    <w:qFormat/>
    <w:pPr>
      <w:jc w:val="both"/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sz w:val="20"/>
      <w:szCs w:val="20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cs="Times New Roman" w:eastAsia="Times New Roman" w:hAnsi="Times New Roman"/>
      <w:sz w:val="32"/>
      <w:szCs w:val="32"/>
      <w:rFonts w:ascii="Times New Roman" w:cs="Times New Roman" w:eastAsia="Times New Roman" w:hAnsi="Times New Roman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cs="Times New Roman" w:eastAsia="Times New Roman" w:hAnsi="Times New Roma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cs="Times New Roman" w:eastAsia="Times New Roman" w:hAnsi="Times New Roman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cs="Times New Roman" w:eastAsia="Times New Roman" w:hAnsi="Times New Roman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cs="Times New Roman" w:eastAsia="Times New Roman" w:hAnsi="Times New Roman"/>
      <w:sz w:val="32"/>
      <w:szCs w:val="32"/>
      <w:rFonts w:ascii="Times New Roman" w:cs="Times New Roman" w:eastAsia="Times New Roman" w:hAnsi="Times New Roman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cs="Times New Roman" w:eastAsia="Times New Roman" w:hAnsi="Times New Roman"/>
      <w:sz w:val="28"/>
      <w:szCs w:val="28"/>
      <w:rFonts w:ascii="Times New Roman" w:cs="Times New Roman" w:eastAsia="Times New Roman" w:hAnsi="Times New Roman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cs="Times New Roman" w:eastAsia="Times New Roman" w:hAnsi="Times New Roman"/>
      <w:sz w:val="26"/>
      <w:szCs w:val="26"/>
      <w:rFonts w:ascii="Times New Roman" w:cs="Times New Roman" w:eastAsia="Times New Roman" w:hAnsi="Times New Roman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cs="Times New Roman" w:eastAsia="Times New Roman" w:hAnsi="Times New Roman"/>
      <w:i/>
      <w:iCs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cs="Times New Roman" w:eastAsia="Times New Roman" w:hAnsi="Times New Roman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cs="Times New Roman" w:eastAsia="Times New Roman" w:hAnsi="Times New Roman"/>
      <w:i/>
      <w:iCs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cs="Times New Roman" w:eastAsia="Times New Roman" w:hAnsi="Times New Roman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cs="Times New Roman" w:eastAsia="Times New Roman" w:hAnsi="Times New Roman"/>
      <w:i/>
      <w:iCs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cs="Times New Roman" w:eastAsia="Times New Roman" w:hAnsi="Times New Roman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cs="Times New Roman" w:eastAsia="Times New Roman" w:hAnsi="Times New Roman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cs="Times New Roman" w:eastAsia="Times New Roman" w:hAnsi="Times New Roman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cs="Times New Roman" w:eastAsia="Times New Roman" w:hAnsi="Times New Roman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cs="Times New Roman" w:eastAsia="Times New Roman" w:hAnsi="Times New Roman"/>
      <w:i/>
      <w:iCs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cs="Times New Roman" w:eastAsia="Times New Roman" w:hAnsi="Times New Roman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cs="Times New Roman" w:eastAsia="Times New Roman" w:hAnsi="Times New Roman"/>
      <w:i/>
      <w:iCs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cs="Times New Roman" w:eastAsia="Times New Roman" w:hAnsi="Times New Roman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cs="Times New Roman" w:eastAsia="Times New Roman" w:hAnsi="Times New Roman"/>
      <w:i/>
      <w:iCs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cs="Times New Roman" w:eastAsia="Times New Roman" w:hAnsi="Times New Roma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Times New Roman" w:cs="Times New Roman" w:eastAsia="Times New Roman" w:hAnsi="Times New Roman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="Times New Roman" w:eastAsia="Times New Roman" w:hAnsi="Times New Roman"/>
      <w:b w:val="0"/>
      <w:bCs w:val="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https://agentdojo.spylab.ai/" TargetMode="External"/><Relationship Id="rId22" Type="http://schemas.openxmlformats.org/officeDocument/2006/relationships/hyperlink" Target="https://aisec.cc/" TargetMode="External"/><Relationship Id="rId9" Type="http://schemas.openxmlformats.org/officeDocument/2006/relationships/hyperlink" Target="https://arxiv.org/abs/2302.12173" TargetMode="External"/><Relationship Id="rId11" Type="http://schemas.openxmlformats.org/officeDocument/2006/relationships/hyperlink" Target="https://arxiv.org/abs/2503.23278" TargetMode="External"/><Relationship Id="rId31" Type="http://schemas.openxmlformats.org/officeDocument/2006/relationships/hyperlink" Target="https://cyberrus.info/" TargetMode="External"/><Relationship Id="rId20" Type="http://schemas.openxmlformats.org/officeDocument/2006/relationships/hyperlink" Target="https://fstec.ru" TargetMode="External"/><Relationship Id="rId16" Type="http://schemas.openxmlformats.org/officeDocument/2006/relationships/hyperlink" Target="https://genai.owasp.org/llm-top-10/" TargetMode="External"/><Relationship Id="rId42" Type="http://schemas.openxmlformats.org/officeDocument/2006/relationships/hyperlink" Target="https://github.com/NVIDIA/NeMo-Guardrails" TargetMode="External"/><Relationship Id="rId19" Type="http://schemas.openxmlformats.org/officeDocument/2006/relationships/hyperlink" Target="https://github.com/cisco-ai-defense/mcp-scanner" TargetMode="External"/><Relationship Id="rId50" Type="http://schemas.openxmlformats.org/officeDocument/2006/relationships/hyperlink" Target="https://github.com/ethz-spylab/agentdojo" TargetMode="External"/><Relationship Id="rId18" Type="http://schemas.openxmlformats.org/officeDocument/2006/relationships/hyperlink" Target="https://github.com/invariantlabs-ai/mcp-scan" TargetMode="External"/><Relationship Id="rId17" Type="http://schemas.openxmlformats.org/officeDocument/2006/relationships/hyperlink" Target="https://invariantlabs.ai/blog/mcp-security-notification-tool-poisoning-attacks" TargetMode="External"/><Relationship Id="rId32" Type="http://schemas.openxmlformats.org/officeDocument/2006/relationships/hyperlink" Target="https://jisp.ru/" TargetMode="External"/><Relationship Id="rId28" Type="http://schemas.openxmlformats.org/officeDocument/2006/relationships/hyperlink" Target="https://kmu.itmo.ru/" TargetMode="External"/><Relationship Id="rId40" Type="http://schemas.openxmlformats.org/officeDocument/2006/relationships/hyperlink" Target="https://mcpservers.org/servers/aisecuritygateway-ai-docs-mcp-gateway" TargetMode="External"/><Relationship Id="rId15" Type="http://schemas.openxmlformats.org/officeDocument/2006/relationships/hyperlink" Target="https://modelcontextprotocol.io/specification/2025-06-18/basic/security_best_practices" TargetMode="External"/><Relationship Id="rId23" Type="http://schemas.openxmlformats.org/officeDocument/2006/relationships/hyperlink" Target="https://neurips.cc/" TargetMode="External"/><Relationship Id="rId30" Type="http://schemas.openxmlformats.org/officeDocument/2006/relationships/hyperlink" Target="https://ntv.ifmo.ru/" TargetMode="External"/><Relationship Id="rId13" Type="http://schemas.openxmlformats.org/officeDocument/2006/relationships/hyperlink" Target="https://ntv.ifmo.ru/ru/article/23311/bolshie_yazykovye_modeli_v_informacionnoy_bezopasnosti_i_testirovanii_na_proniknovenie:_sistematicheskiy_obzor_vozmozhnostey_primeneniya%C2%A0.htm" TargetMode="External"/><Relationship Id="rId27" Type="http://schemas.openxmlformats.org/officeDocument/2006/relationships/hyperlink" Target="https://offzone.moscow/" TargetMode="External"/><Relationship Id="rId26" Type="http://schemas.openxmlformats.org/officeDocument/2006/relationships/hyperlink" Target="https://phdays.com/" TargetMode="External"/><Relationship Id="rId37" Type="http://schemas.openxmlformats.org/officeDocument/2006/relationships/hyperlink" Target="https://regulation.gov.ru" TargetMode="External"/><Relationship Id="rId12" Type="http://schemas.openxmlformats.org/officeDocument/2006/relationships/hyperlink" Target="https://simonwillison.net/tags/prompt-injection/" TargetMode="External"/><Relationship Id="rId25" Type="http://schemas.openxmlformats.org/officeDocument/2006/relationships/hyperlink" Target="https://sp2025.ieee-security.org/" TargetMode="External"/><Relationship Id="rId34" Type="http://schemas.openxmlformats.org/officeDocument/2006/relationships/hyperlink" Target="https://www.computer.org/csdl/journal/tq" TargetMode="External"/><Relationship Id="rId33" Type="http://schemas.openxmlformats.org/officeDocument/2006/relationships/hyperlink" Target="https://www.sciencedirect.com/journal/computers-and-security" TargetMode="External"/><Relationship Id="rId24" Type="http://schemas.openxmlformats.org/officeDocument/2006/relationships/hyperlink" Target="https://www.usenix.org/conference/usenixsecurity25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https://agentdojo.spylab.ai/" TargetMode="External"/><Relationship Id="rId22" Type="http://schemas.openxmlformats.org/officeDocument/2006/relationships/hyperlink" Target="https://aisec.cc/" TargetMode="External"/><Relationship Id="rId9" Type="http://schemas.openxmlformats.org/officeDocument/2006/relationships/hyperlink" Target="https://arxiv.org/abs/2302.12173" TargetMode="External"/><Relationship Id="rId11" Type="http://schemas.openxmlformats.org/officeDocument/2006/relationships/hyperlink" Target="https://arxiv.org/abs/2503.23278" TargetMode="External"/><Relationship Id="rId31" Type="http://schemas.openxmlformats.org/officeDocument/2006/relationships/hyperlink" Target="https://cyberrus.info/" TargetMode="External"/><Relationship Id="rId20" Type="http://schemas.openxmlformats.org/officeDocument/2006/relationships/hyperlink" Target="https://fstec.ru" TargetMode="External"/><Relationship Id="rId16" Type="http://schemas.openxmlformats.org/officeDocument/2006/relationships/hyperlink" Target="https://genai.owasp.org/llm-top-10/" TargetMode="External"/><Relationship Id="rId42" Type="http://schemas.openxmlformats.org/officeDocument/2006/relationships/hyperlink" Target="https://github.com/NVIDIA/NeMo-Guardrails" TargetMode="External"/><Relationship Id="rId19" Type="http://schemas.openxmlformats.org/officeDocument/2006/relationships/hyperlink" Target="https://github.com/cisco-ai-defense/mcp-scanner" TargetMode="External"/><Relationship Id="rId50" Type="http://schemas.openxmlformats.org/officeDocument/2006/relationships/hyperlink" Target="https://github.com/ethz-spylab/agentdojo" TargetMode="External"/><Relationship Id="rId18" Type="http://schemas.openxmlformats.org/officeDocument/2006/relationships/hyperlink" Target="https://github.com/invariantlabs-ai/mcp-scan" TargetMode="External"/><Relationship Id="rId17" Type="http://schemas.openxmlformats.org/officeDocument/2006/relationships/hyperlink" Target="https://invariantlabs.ai/blog/mcp-security-notification-tool-poisoning-attacks" TargetMode="External"/><Relationship Id="rId32" Type="http://schemas.openxmlformats.org/officeDocument/2006/relationships/hyperlink" Target="https://jisp.ru/" TargetMode="External"/><Relationship Id="rId28" Type="http://schemas.openxmlformats.org/officeDocument/2006/relationships/hyperlink" Target="https://kmu.itmo.ru/" TargetMode="External"/><Relationship Id="rId40" Type="http://schemas.openxmlformats.org/officeDocument/2006/relationships/hyperlink" Target="https://mcpservers.org/servers/aisecuritygateway-ai-docs-mcp-gateway" TargetMode="External"/><Relationship Id="rId15" Type="http://schemas.openxmlformats.org/officeDocument/2006/relationships/hyperlink" Target="https://modelcontextprotocol.io/specification/2025-06-18/basic/security_best_practices" TargetMode="External"/><Relationship Id="rId23" Type="http://schemas.openxmlformats.org/officeDocument/2006/relationships/hyperlink" Target="https://neurips.cc/" TargetMode="External"/><Relationship Id="rId30" Type="http://schemas.openxmlformats.org/officeDocument/2006/relationships/hyperlink" Target="https://ntv.ifmo.ru/" TargetMode="External"/><Relationship Id="rId13" Type="http://schemas.openxmlformats.org/officeDocument/2006/relationships/hyperlink" Target="https://ntv.ifmo.ru/ru/article/23311/bolshie_yazykovye_modeli_v_informacionnoy_bezopasnosti_i_testirovanii_na_proniknovenie:_sistematicheskiy_obzor_vozmozhnostey_primeneniya%C2%A0.htm" TargetMode="External"/><Relationship Id="rId27" Type="http://schemas.openxmlformats.org/officeDocument/2006/relationships/hyperlink" Target="https://offzone.moscow/" TargetMode="External"/><Relationship Id="rId26" Type="http://schemas.openxmlformats.org/officeDocument/2006/relationships/hyperlink" Target="https://phdays.com/" TargetMode="External"/><Relationship Id="rId37" Type="http://schemas.openxmlformats.org/officeDocument/2006/relationships/hyperlink" Target="https://regulation.gov.ru" TargetMode="External"/><Relationship Id="rId12" Type="http://schemas.openxmlformats.org/officeDocument/2006/relationships/hyperlink" Target="https://simonwillison.net/tags/prompt-injection/" TargetMode="External"/><Relationship Id="rId25" Type="http://schemas.openxmlformats.org/officeDocument/2006/relationships/hyperlink" Target="https://sp2025.ieee-security.org/" TargetMode="External"/><Relationship Id="rId34" Type="http://schemas.openxmlformats.org/officeDocument/2006/relationships/hyperlink" Target="https://www.computer.org/csdl/journal/tq" TargetMode="External"/><Relationship Id="rId33" Type="http://schemas.openxmlformats.org/officeDocument/2006/relationships/hyperlink" Target="https://www.sciencedirect.com/journal/computers-and-security" TargetMode="External"/><Relationship Id="rId24" Type="http://schemas.openxmlformats.org/officeDocument/2006/relationships/hyperlink" Target="https://www.usenix.org/conference/usenixsecurity2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2026-10-26T12:28:54Z</dcterms:created>
  <dcterms:modified xsi:type="dcterms:W3CDTF">2026-10-26T12:28:54Z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