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лр-2--обоснование-актуальности-вкр"/>
    <w:p>
      <w:pPr>
        <w:pStyle w:val="Heading1"/>
      </w:pPr>
      <w:r>
        <w:t xml:space="preserve">ЛР 2 — обоснование актуальности ВКР</w:t>
      </w:r>
    </w:p>
    <w:p>
      <w:pPr>
        <w:pStyle w:val="FirstParagraph"/>
      </w:pPr>
      <w:r>
        <w:rPr>
          <w:b/>
          <w:bCs/>
        </w:rPr>
        <w:t xml:space="preserve">Тема ВКР:</w:t>
      </w:r>
      <w:r>
        <w:t xml:space="preserve"> </w:t>
      </w:r>
      <w:r>
        <w:t xml:space="preserve">«Разработка методики безопасного развёртывания MCP-серверов для интеграции LLM-агентов с корпоративными системами в изолированных контурах»</w:t>
      </w:r>
    </w:p>
    <w:p>
      <w:pPr>
        <w:pStyle w:val="BodyText"/>
      </w:pPr>
      <w:r>
        <w:rPr>
          <w:b/>
          <w:bCs/>
        </w:rPr>
        <w:t xml:space="preserve">Автор:</w:t>
      </w:r>
      <w:r>
        <w:t xml:space="preserve"> </w:t>
      </w:r>
      <w:r>
        <w:t xml:space="preserve">Поляков Александр Владимирович, K3439</w:t>
      </w:r>
    </w:p>
    <w:p>
      <w:pPr>
        <w:pStyle w:val="BodyText"/>
      </w:pPr>
      <w:r>
        <w:t xml:space="preserve">Тема относится к безопасности LLM-агентов. Агент на основе большой языковой модели подключается к корпоративным системам через MCP-серверы (Model Context Protocol) и получает право читать и изменять данные: проводить документы в 1С, отправлять письма из корпоративной почты. Если во входящем письме или документе содержится внедрённая инструкция, агент может выполнить её как задание пользователя. В работе исследуется, как развёртывать такие серверы в изолированном контуре без доступа в интернет, чтобы даже обманутый агент не смог причинить ущерб.</w:t>
      </w:r>
    </w:p>
    <w:p>
      <w:pPr>
        <w:pStyle w:val="BodyText"/>
      </w:pPr>
      <w:r>
        <w:t xml:space="preserve">Практическая часть ВКР выполняется на платформе AI-агентов для закрытых корпоративных сред, в разработке которой участвует автор. В платформе уже есть собственные MCP-серверы для 1С и почты, подтверждение опасных действий человеком, сетевые политики для части компонентов и стенды для экспериментов.</w:t>
      </w:r>
    </w:p>
    <w:bookmarkStart w:id="36" w:name="X77ed187140b4a10d4ffa761bc1baa5b7086da38"/>
    <w:p>
      <w:pPr>
        <w:pStyle w:val="Heading2"/>
      </w:pPr>
      <w:r>
        <w:t xml:space="preserve">1. Кто занимается темой</w:t>
      </w:r>
    </w:p>
    <w:bookmarkStart w:id="14" w:name="исследователи-и-разработчики"/>
    <w:p>
      <w:pPr>
        <w:pStyle w:val="Heading3"/>
      </w:pPr>
      <w:r>
        <w:t xml:space="preserve">Исследователи и разработчики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</w:tblPr>
      <w:tblGrid>
        <w:gridCol w:w="3087"/>
        <w:gridCol w:w="3929"/>
        <w:gridCol w:w="2338"/>
      </w:tblGrid>
      <w:tr>
        <w:trPr>
          <w:tblHeader w:val="on"/>
        </w:trP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Имя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Связь с темой, работы или проекты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r>
              <w:t xml:space="preserve">Ссылка</w:t>
            </w:r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Kai Greshake, Mario Fritz (CISPA Helmholtz Center for Information Security)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Впервые описали непрямую prompt injection в LLM-приложениях [2]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9">
              <w:r>
                <w:rPr>
                  <w:rStyle w:val="Hyperlink"/>
                </w:rPr>
                <w:t xml:space="preserve">arXiv:2302.12173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Florian Tramèr (ETH Zürich, SPY Lab)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Руководит разработкой бенчмарка AgentDojo для оценки атак на агентов с инструментами и защит от них [3]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10">
              <w:r>
                <w:rPr>
                  <w:rStyle w:val="Hyperlink"/>
                </w:rPr>
                <w:t xml:space="preserve">agentdojo.spylab.ai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Xinyi Hou, Haoyu Wang (Huazhong University of Science and Technology)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Авторы обзора угроз MCP по фазам жизненного цикла сервера [1]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11">
              <w:r>
                <w:rPr>
                  <w:rStyle w:val="Hyperlink"/>
                </w:rPr>
                <w:t xml:space="preserve">arXiv:2503.23278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Simon Willison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Независимый разработчик, ввёл термин prompt injection и ведёт публичный разбор атак на агентов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12">
              <w:r>
                <w:rPr>
                  <w:rStyle w:val="Hyperlink"/>
                </w:rPr>
                <w:t xml:space="preserve">simonwillison.net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Конев А. А., Паюсова Т. И.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Систематический обзор применения LLM в информационной безопасности [12]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13">
              <w:r>
                <w:rPr>
                  <w:rStyle w:val="Hyperlink"/>
                </w:rPr>
                <w:t xml:space="preserve">НТВ ИТМО</w:t>
              </w:r>
            </w:hyperlink>
          </w:p>
        </w:tc>
      </w:tr>
    </w:tbl>
    <w:bookmarkEnd w:id="14"/>
    <w:bookmarkStart w:id="21" w:name="организации"/>
    <w:p>
      <w:pPr>
        <w:pStyle w:val="Heading3"/>
      </w:pPr>
      <w:r>
        <w:t xml:space="preserve">Организации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</w:tblPr>
      <w:tblGrid>
        <w:gridCol w:w="3087"/>
        <w:gridCol w:w="3929"/>
        <w:gridCol w:w="2338"/>
      </w:tblGrid>
      <w:tr>
        <w:trPr>
          <w:tblHeader w:val="on"/>
        </w:trP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Работы или проекты по теме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r>
              <w:t xml:space="preserve">Ссылка</w:t>
            </w:r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Автор спецификации MCP и её раздела о безопасности [6]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15">
              <w:r>
                <w:rPr>
                  <w:rStyle w:val="Hyperlink"/>
                </w:rPr>
                <w:t xml:space="preserve">modelcontextprotocol.io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OWASP GenAI Security Project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OWASP Top 10 for LLM Applications [4]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16">
              <w:r>
                <w:rPr>
                  <w:rStyle w:val="Hyperlink"/>
                </w:rPr>
                <w:t xml:space="preserve">genai.owasp.org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Invariant Labs (Snyk)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Описали атаку tool poisoning на MCP, выпустили сканер mcp-scan, который теперь развивается как Snyk Agent Scan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17">
              <w:r>
                <w:rPr>
                  <w:rStyle w:val="Hyperlink"/>
                </w:rPr>
                <w:t xml:space="preserve">блог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GitHub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Cisco AI Defense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Открытый сканер MCP-серверов MCP Scanner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19">
              <w:r>
                <w:rPr>
                  <w:rStyle w:val="Hyperlink"/>
                </w:rPr>
                <w:t xml:space="preserve">GitHub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ФСТЭК России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Требования к защите информации при использовании ИИ и к средствам контейнеризации [10, 11]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fstec.ru</w:t>
              </w:r>
            </w:hyperlink>
          </w:p>
        </w:tc>
      </w:tr>
    </w:tbl>
    <w:bookmarkEnd w:id="21"/>
    <w:bookmarkStart w:id="29" w:name="конференции"/>
    <w:p>
      <w:pPr>
        <w:pStyle w:val="Heading3"/>
      </w:pPr>
      <w:r>
        <w:t xml:space="preserve">Конференции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</w:tblPr>
      <w:tblGrid>
        <w:gridCol w:w="3087"/>
        <w:gridCol w:w="3929"/>
        <w:gridCol w:w="2338"/>
      </w:tblGrid>
      <w:tr>
        <w:trPr>
          <w:tblHeader w:val="on"/>
        </w:trP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Какие работы по теме представлены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r>
              <w:t xml:space="preserve">Ссылка</w:t>
            </w:r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ACM CCS, воркшоп AISec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Непрямая prompt injection в LLM-приложениях [2]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aisec.cc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NeurIPS, трек Datasets and Benchmarks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Бенчмарк AgentDojo [3]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neurips.cc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USENIX Security, IEEE Symposium on Security and Privacy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Основные площадки по безопасности систем, в том числе по атакам на LLM-приложения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USENIX Security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IEEE S&amp;P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Positive Hack Days, OFFZONE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Российские площадки практической безопасности, доклады об атаках на LLM-приложения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phdays.com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offzone.moscow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Конгресс молодых учёных ИТМО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Площадка для собственной публикации по теме ВКР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kmu.itmo.ru</w:t>
              </w:r>
            </w:hyperlink>
          </w:p>
        </w:tc>
      </w:tr>
    </w:tbl>
    <w:bookmarkEnd w:id="29"/>
    <w:bookmarkStart w:id="35" w:name="научные-журналы"/>
    <w:p>
      <w:pPr>
        <w:pStyle w:val="Heading3"/>
      </w:pPr>
      <w:r>
        <w:t xml:space="preserve">Научные журналы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</w:tblPr>
      <w:tblGrid>
        <w:gridCol w:w="3087"/>
        <w:gridCol w:w="3929"/>
        <w:gridCol w:w="2338"/>
      </w:tblGrid>
      <w:tr>
        <w:trPr>
          <w:tblHeader w:val="on"/>
        </w:trP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Какие работы по теме опубликованы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r>
              <w:t xml:space="preserve">Ссылка</w:t>
            </w:r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Научно-технический вестник информационных технологий, механики и оптики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Обзор применения LLM в информационной безопасности [12]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ntv.ifmo.ru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Вопросы кибербезопасности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Работы по защите информационных систем и применению ИИ в безопасности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cyberrus.info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Проблемы информационной безопасности. Компьютерные системы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Работы по защите компьютерных систем и анализу угроз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jisp.ru</w:t>
              </w:r>
            </w:hyperlink>
          </w:p>
        </w:tc>
      </w:tr>
      <w:tr>
        <w:tc>
          <w:tcPr>
            <w:tcW w:w="3087" w:type="dxa"/>
          </w:tcPr>
          <w:p>
            <w:pPr>
              <w:pStyle w:val="Compact"/>
              <w:jc w:val="left"/>
            </w:pPr>
            <w:r>
              <w:t xml:space="preserve">Computers &amp; Security; IEEE Transactions on Dependable and Secure Computing</w:t>
            </w:r>
          </w:p>
        </w:tc>
        <w:tc>
          <w:tcPr>
            <w:tcW w:w="3929" w:type="dxa"/>
          </w:tcPr>
          <w:p>
            <w:pPr>
              <w:pStyle w:val="Compact"/>
              <w:jc w:val="left"/>
            </w:pPr>
            <w:r>
              <w:t xml:space="preserve">Международные журналы по безопасности систем, в том числе систем с машинным обучением</w:t>
            </w:r>
          </w:p>
        </w:tc>
        <w:tc>
          <w:tcPr>
            <w:tcW w:w="2338" w:type="dxa"/>
          </w:tcPr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Computers &amp; Security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IEEE TDSC</w:t>
              </w:r>
            </w:hyperlink>
          </w:p>
        </w:tc>
      </w:tr>
    </w:tbl>
    <w:bookmarkEnd w:id="35"/>
    <w:bookmarkEnd w:id="36"/>
    <w:bookmarkStart w:id="39" w:name="X5c84d71ac179b03e4204a91f3bd49ce6f270f78"/>
    <w:p>
      <w:pPr>
        <w:pStyle w:val="Heading2"/>
      </w:pPr>
      <w:r>
        <w:t xml:space="preserve">2. Обзор литературы</w:t>
      </w:r>
    </w:p>
    <w:p>
      <w:pPr>
        <w:pStyle w:val="FirstParagraph"/>
      </w:pPr>
      <w:r>
        <w:t xml:space="preserve">Угрозы LLM-агентов и протокола MCP уже описаны в научных работах и отраслевых стандартах. Вопрос о том, как закрывать эти угрозы при развёртывании серверов в изолированном контуре, исследован слабо. Список содержит 7 иностранных источников и 5 источников на русском языке.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</w:tblPr>
      <w:tblGrid>
        <w:gridCol w:w="467"/>
        <w:gridCol w:w="3461"/>
        <w:gridCol w:w="2900"/>
        <w:gridCol w:w="2525"/>
      </w:tblGrid>
      <w:tr>
        <w:trPr>
          <w:tblHeader w:val="on"/>
        </w:trP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Библиографическая ссылка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Краткое описание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Чем полезен для работы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Hou X., Zhao Y., Wang S., Wang H. Model Context Protocol (MCP): Landscape, Security Threats, and Future Research Directions // arXiv. — 2025. — arXiv:2503.23278. — URL: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https://arxiv.org/abs/2503.23278</w:t>
              </w:r>
            </w:hyperlink>
            <w:r>
              <w:t xml:space="preserve"> </w:t>
            </w:r>
            <w:r>
              <w:t xml:space="preserve">(дата обращения: 26.10.2026).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Первый систематический обзор безопасности MCP. Жизненный цикл сервера разбит на четыре фазы (создание, развёртывание, эксплуатация, сопровождение), угрозы сведены в 16 сценариев для четырёх типов нарушителей.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Основа модели угроз. Обзор подтверждает, что фаза развёртывания несёт собственные угрозы.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Greshake K., Abdelnabi S., Mishra S., Endres C., Holz T., Fritz M. Not What You've Signed Up For: Compromising Real-World LLM-Integrated Applications with Indirect Prompt Injection // Proceedings of the 16th ACM Workshop on Artificial Intelligence and Security (AISec '23). — New York: ACM, 2023. — P. 79–90. — DOI: 10.1145/3605764.3623985.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Впервые показана непрямая prompt injection: инструкция приходит не от пользователя, а из данных, которые приложение получает со стороны. На реальных системах продемонстрированы кража данных и распространение атаки.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Описывает именно ту атаку, которая угрожает агенту, читающему корпоративную почту.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Debenedetti E., Zhang J., Balunović M., Beurer-Kellner L., Fischer M., Tramèr F. AgentDojo: A Dynamic Environment to Evaluate Prompt Injection Attacks and Defenses for LLM Agents // Advances in Neural Information Processing Systems 37 (NeurIPS 2024), Datasets and Benchmarks Track. — 2024. — arXiv:2406.13352.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Открытая среда для оценки атак на агентов с инструментами: 97 задач (почта, интернет-банк, бронирование поездок и др.) и 629 тестовых сценариев атак. Ни одна из проверенных защит не устраняет атаки полностью.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Готовый набор атакующих сценариев и методика измерения для эксперимента ВКР.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OWASP Top 10 for LLM Applications 2025 / OWASP GenAI Security Project. — 2024. — URL: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https://genai.owasp.org/llm-top-10/</w:t>
              </w:r>
            </w:hyperlink>
            <w:r>
              <w:t xml:space="preserve"> </w:t>
            </w:r>
            <w:r>
              <w:t xml:space="preserve">(дата обращения: 26.10.2026).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Отраслевой перечень главных рисков LLM-приложений. Для темы важны LLM01 Prompt Injection, LLM02 Sensitive Information Disclosure и LLM06 Excessive Agency (избыточные полномочия агента).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Классификация угроз для модели угроз.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Liu Y., Deng G., Li Y. [и др.]. Prompt Injection attack against LLM-integrated Applications // arXiv. — 2023. — arXiv:2306.05499.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Исследование prompt injection в коммерческих LLM-приложениях методом чёрного ящика. Авторы предложили атаку HouYi и нашли уязвимыми 31 приложение из 36 проверенных.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Подтверждает, что уязвимость массовая, а не единичная.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Model Context Protocol Specification (revision 2025-06-18). Security Best Practices / Anthropic. — URL: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https://modelcontextprotocol.io/specification/2025-06-18/basic/security_best_practices</w:t>
              </w:r>
            </w:hyperlink>
            <w:r>
              <w:t xml:space="preserve"> </w:t>
            </w:r>
            <w:r>
              <w:t xml:space="preserve">(дата обращения: 26.10.2026).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Раздел спецификации MCP о безопасности: атака «запутанного заместителя» (confused deputy), передача токенов в обход сервера (token passthrough), перехват сессии, требование согласия пользователя.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Первичный перечень угроз протокола. Показывает, что развёртывание серверов в инфраструктуре заказчика спецификацией не описано.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Souppaya M., Morello J., Scarfone K. Application Container Security Guide: NIST Special Publication 800-190. — Gaithersburg: NIST, 2017. — DOI: 10.6028/NIST.SP.800-190.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Руководство NIST по безопасности контейнерных приложений: риски образов, реестров, оркестратора и сетевого взаимодействия и меры против них.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База для мер развёртывания: сетевого разделения, минимальных прав, контроля образов.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Российская Федерация. Законы. О безопасности критической информационной инфраструктуры Российской Федерации: Федеральный закон от 26.07.2017 № 187-ФЗ.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Закон об обязанностях субъектов критической информационной инфраструктуры.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Часть потенциальных заказчиков — субъекты КИИ, поэтому агент, работающий с их системами, попадает под требования закона.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Российская Федерация. Законы. О персональных данных: Федеральный закон от 27.07.2006 № 152-ФЗ.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Закон о защите персональных данных.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Почта и учётные системы содержат персональные данные, поэтому защита от их вывода агентом обязательна.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Об утверждении Требований о защите информации, содержащейся в государственных информационных системах, иных информационных системах государственных органов, государственных унитарных предприятий, государственных учреждений: приказ ФСТЭК России от 11.04.2025 № 117; проект изменений к нему в части применения технологий искусственного интеллекта (2026). — URL: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https://regulation.gov.ru</w:t>
              </w:r>
            </w:hyperlink>
            <w:r>
              <w:t xml:space="preserve"> </w:t>
            </w:r>
            <w:r>
              <w:t xml:space="preserve">(дата обращения: 26.10.2026).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Требования к защите информации в государственных информационных системах и проект изменений к ним о применении ИИ.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Требования выделять ИИ-системы в отдельный сегмент, ограничивать их права и защищать агентов от воздействия. Как это сделать для MCP-серверов, документы не говорят.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Об утверждении Требований по безопасности информации к средствам контейнеризации: приказ ФСТЭК России от 04.07.2022 № 118 (зарегистрирован Минюстом России 29.09.2022 № 70275).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Требования к изоляции контейнеров, контролю целостности образов и регистрации событий безопасности.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MCP-серверы поставляются в контейнерах, поэтому требования напрямую относятся к методике.</w:t>
            </w:r>
          </w:p>
        </w:tc>
      </w:tr>
      <w:tr>
        <w:tc>
          <w:tcPr>
            <w:tcW w:w="467" w:type="dxa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w="3461" w:type="dxa"/>
          </w:tcPr>
          <w:p>
            <w:pPr>
              <w:pStyle w:val="Compact"/>
              <w:jc w:val="left"/>
            </w:pPr>
            <w:r>
              <w:t xml:space="preserve">Конев А. А., Паюсова Т. И. Большие языковые модели в информационной безопасности и тестировании на проникновение: систематический обзор возможностей применения // Научно-технический вестник информационных технологий, механики и оптики. — 2025. — Т. 25, № 1. — С. 42–52. — DOI: 10.17586/2226-1494-2025-25-1-42-52.</w:t>
            </w:r>
          </w:p>
        </w:tc>
        <w:tc>
          <w:tcPr>
            <w:tcW w:w="2900" w:type="dxa"/>
          </w:tcPr>
          <w:p>
            <w:pPr>
              <w:pStyle w:val="Compact"/>
              <w:jc w:val="left"/>
            </w:pPr>
            <w:r>
              <w:t xml:space="preserve">Систематический обзор применения LLM в информационной безопасности и тестировании на проникновение.</w:t>
            </w:r>
          </w:p>
        </w:tc>
        <w:tc>
          <w:tcPr>
            <w:tcW w:w="2525" w:type="dxa"/>
          </w:tcPr>
          <w:p>
            <w:pPr>
              <w:pStyle w:val="Compact"/>
              <w:jc w:val="left"/>
            </w:pPr>
            <w:r>
              <w:t xml:space="preserve">Показывает состояние темы в российской науке: внимание уделено применению LLM для атаки и защиты, а защите самих агентов — меньше.</w:t>
            </w:r>
          </w:p>
        </w:tc>
      </w:tr>
    </w:tbl>
    <w:bookmarkStart w:id="38" w:name="выводы-по-обзору"/>
    <w:p>
      <w:pPr>
        <w:pStyle w:val="Heading3"/>
      </w:pPr>
      <w:r>
        <w:t xml:space="preserve">Выводы по обзору</w:t>
      </w:r>
    </w:p>
    <w:p>
      <w:pPr>
        <w:pStyle w:val="Compact"/>
        <w:numPr>
          <w:ilvl w:val="0"/>
          <w:numId w:val="1001"/>
        </w:numPr>
      </w:pPr>
      <w:r>
        <w:rPr>
          <w:sz w:val="24"/>
        </w:rPr>
        <w:t xml:space="preserve">Работы [2, 3, 5] показывают, что агента с инструментами можно заставить выполнить чужую инструкцию из данных, а надёжной защиты на уровне модели нет. Поэтому в работе используется подход ограничения ущерба: агент считается заведомо скомпрометированным, а защита строится в инфраструктуре вокруг него.</w:t>
      </w:r>
    </w:p>
    <w:p>
      <w:pPr>
        <w:pStyle w:val="Compact"/>
        <w:numPr>
          <w:ilvl w:val="0"/>
          <w:numId w:val="1001"/>
        </w:numPr>
      </w:pPr>
      <w:r>
        <w:rPr>
          <w:sz w:val="24"/>
        </w:rPr>
        <w:t xml:space="preserve">Обзор [1] и спецификация [6] перечисляют угрозы MCP, но не дают методики развёртывания серверов в инфраструктуре заказчика.</w:t>
      </w:r>
    </w:p>
    <w:p>
      <w:pPr>
        <w:pStyle w:val="Compact"/>
        <w:numPr>
          <w:ilvl w:val="0"/>
          <w:numId w:val="1001"/>
        </w:numPr>
      </w:pPr>
      <w:r>
        <w:rPr>
          <w:sz w:val="24"/>
        </w:rPr>
        <w:t xml:space="preserve">Руководство [7] и приказ [11] задают проверенные меры для контейнерных сред: сетевое разделение, минимальные права, контроль образов. Их можно перенести на MCP-серверы.</w:t>
      </w:r>
    </w:p>
    <w:p>
      <w:pPr>
        <w:pStyle w:val="Compact"/>
        <w:numPr>
          <w:ilvl w:val="0"/>
          <w:numId w:val="1001"/>
        </w:numPr>
      </w:pPr>
      <w:r>
        <w:rPr>
          <w:sz w:val="24"/>
        </w:rPr>
        <w:t xml:space="preserve">Российские нормативные документы [10, 11] уже требуют для ИИ-систем отдельный сегмент, минимальные права и защиту агентов от воздействия, но не говорят, как выполнить эти требования для MCP-серверов.</w:t>
      </w:r>
    </w:p>
    <w:p>
      <w:pPr>
        <w:pStyle w:val="Compact"/>
        <w:numPr>
          <w:ilvl w:val="0"/>
          <w:numId w:val="1001"/>
        </w:numPr>
      </w:pPr>
      <w:r>
        <w:rPr>
          <w:sz w:val="24"/>
        </w:rPr>
        <w:t xml:space="preserve">Нерешённым остаётся вопрос: какие меры развёртывания и в каком сочетании останавливают атаки на агента в закрытом контуре и какой ценой для пользователя. На него и отвечает ВКР.</w:t>
      </w:r>
    </w:p>
    <w:bookmarkEnd w:id="38"/>
    <w:bookmarkEnd w:id="39"/>
    <w:bookmarkStart w:id="46" w:name="Xaaa6eb1a03368fc8579f77ef052393180c1802f"/>
    <w:p>
      <w:pPr>
        <w:pStyle w:val="Heading2"/>
      </w:pPr>
      <w:r>
        <w:t xml:space="preserve">3. Обзор и сравнение аналогов</w:t>
      </w:r>
    </w:p>
    <w:bookmarkStart w:id="41" w:name="прямые-аналоги"/>
    <w:p>
      <w:pPr>
        <w:pStyle w:val="Heading3"/>
      </w:pPr>
      <w:r>
        <w:t xml:space="preserve">Прямые аналоги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sz w:val="24"/>
        </w:rPr>
        <w:t xml:space="preserve">Cisco MCP Scanner</w:t>
      </w:r>
      <w:r>
        <w:rPr>
          <w:sz w:val="24"/>
        </w:rPr>
        <w:t xml:space="preserve"> </w:t>
      </w:r>
      <w:r>
        <w:rPr>
          <w:sz w:val="24"/>
        </w:rPr>
        <w:t xml:space="preserve">(</w:t>
      </w:r>
      <w:hyperlink r:id="rId19">
        <w:r>
          <w:rPr>
            <w:rStyle w:val="Hyperlink"/>
          </w:rPr>
          <w:t xml:space="preserve">GitHub</w:t>
        </w:r>
      </w:hyperlink>
      <w:r>
        <w:rPr>
          <w:sz w:val="24"/>
        </w:rPr>
        <w:t xml:space="preserve">) — открытый сканер MCP-серверов: проверяет описания инструментов на скрытые инструкции и другие признаки угроз. Ограничения: проверяет сервер до подключения, но не контролирует вызовы во время работы, а часть проверок опирается на внешние сервисы анализа.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sz w:val="24"/>
        </w:rPr>
        <w:t xml:space="preserve">mcp-scan / Snyk Agent Scan</w:t>
      </w:r>
      <w:r>
        <w:rPr>
          <w:sz w:val="24"/>
        </w:rPr>
        <w:t xml:space="preserve"> </w:t>
      </w:r>
      <w:r>
        <w:rPr>
          <w:sz w:val="24"/>
        </w:rPr>
        <w:t xml:space="preserve">(</w:t>
      </w:r>
      <w:hyperlink r:id="rId18">
        <w:r>
          <w:rPr>
            <w:rStyle w:val="Hyperlink"/>
          </w:rPr>
          <w:t xml:space="preserve">GitHub</w:t>
        </w:r>
      </w:hyperlink>
      <w:r>
        <w:rPr>
          <w:sz w:val="24"/>
        </w:rPr>
        <w:t xml:space="preserve">) — сканер компонентов агента и MCP-серверов на prompt injection и tool poisoning. Ограничения: те же, что у сканера Cisco; права в целевой системе и сетевой доступ сервера не затрагивает.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sz w:val="24"/>
        </w:rPr>
        <w:t xml:space="preserve">AI Security Gateway</w:t>
      </w:r>
      <w:r>
        <w:rPr>
          <w:sz w:val="24"/>
        </w:rPr>
        <w:t xml:space="preserve"> </w:t>
      </w:r>
      <w:r>
        <w:rPr>
          <w:sz w:val="24"/>
        </w:rPr>
        <w:t xml:space="preserve">(</w:t>
      </w:r>
      <w:hyperlink r:id="rId40">
        <w:r>
          <w:rPr>
            <w:rStyle w:val="Hyperlink"/>
          </w:rPr>
          <w:t xml:space="preserve">описание</w:t>
        </w:r>
      </w:hyperlink>
      <w:r>
        <w:rPr>
          <w:sz w:val="24"/>
        </w:rPr>
        <w:t xml:space="preserve">) — MCP-шлюз, через который проходят все вызовы инструментов; фильтрует их и ведёт журнал. Ограничения: не ограничивает права служебной учётной записи в целевой системе и не останавливает критичное действие до решения человека.</w:t>
      </w:r>
    </w:p>
    <w:bookmarkEnd w:id="41"/>
    <w:bookmarkStart w:id="43" w:name="косвенные-аналоги"/>
    <w:p>
      <w:pPr>
        <w:pStyle w:val="Heading3"/>
      </w:pPr>
      <w:r>
        <w:t xml:space="preserve">Косвенные аналоги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sz w:val="24"/>
        </w:rPr>
        <w:t xml:space="preserve">NVIDIA NeMo Guardrails</w:t>
      </w:r>
      <w:r>
        <w:rPr>
          <w:sz w:val="24"/>
        </w:rPr>
        <w:t xml:space="preserve"> </w:t>
      </w:r>
      <w:r>
        <w:rPr>
          <w:sz w:val="24"/>
        </w:rPr>
        <w:t xml:space="preserve">(</w:t>
      </w:r>
      <w:hyperlink r:id="rId42">
        <w:r>
          <w:rPr>
            <w:rStyle w:val="Hyperlink"/>
          </w:rPr>
          <w:t xml:space="preserve">GitHub</w:t>
        </w:r>
      </w:hyperlink>
      <w:r>
        <w:rPr>
          <w:sz w:val="24"/>
        </w:rPr>
        <w:t xml:space="preserve">) — библиотека защитных фильтров для LLM-приложений: проверяет входы и выходы модели по заданным правилам. Работает локально. Ограничения: ничего не знает про MCP и целевые системы, не проверяет описания инструментов и не управляет инфраструктурой.</w:t>
      </w:r>
    </w:p>
    <w:bookmarkEnd w:id="43"/>
    <w:bookmarkStart w:id="44" w:name="таблица-сравнения"/>
    <w:p>
      <w:pPr>
        <w:pStyle w:val="Heading3"/>
      </w:pPr>
      <w:r>
        <w:t xml:space="preserve">Таблица сравнения</w:t>
      </w:r>
    </w:p>
    <w:p>
      <w:pPr>
        <w:pStyle w:val="FirstParagraph"/>
      </w:pPr>
      <w:r>
        <w:rPr>
          <w:b/>
          <w:bCs/>
        </w:rPr>
        <w:t xml:space="preserve">Почему выбраны эти критерии:</w:t>
      </w:r>
      <w:r>
        <w:t xml:space="preserve"> </w:t>
      </w:r>
      <w:r>
        <w:t xml:space="preserve">критерии следуют из модели угроз и условий эксплуатации. Первый критерий отражает требование закрытого контура: средство, которому нужны внешние сервисы, у заказчика неприменимо. Второй и третий критерии покрывают две главные атаки на агента: отравленные описания инструментов и инструкции, внедрённые в данные. Критерии с четвёртого по шестой оценивают меры ограничения ущерба, которые работают даже после успешной атаки. Седьмой критерий проверяет, повторяется ли защита на каждой установке без ручной настройки. Восьмой нужен для расследования инцидентов.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</w:tblPr>
      <w:tblGrid>
        <w:gridCol w:w="2806"/>
        <w:gridCol w:w="1309"/>
        <w:gridCol w:w="1309"/>
        <w:gridCol w:w="1309"/>
        <w:gridCol w:w="1309"/>
        <w:gridCol w:w="1309"/>
      </w:tblGrid>
      <w:tr>
        <w:trPr>
          <w:tblHeader w:val="on"/>
        </w:trPr>
        <w:tc>
          <w:tcPr>
            <w:tcW w:w="2806" w:type="dxa"/>
          </w:tcPr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Cisco MCP Scanner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mcp-scan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AI Security Gateway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NeMo Guardrails (косвенный)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Наше решение (план)</w:t>
            </w:r>
          </w:p>
        </w:tc>
      </w:tr>
      <w:tr>
        <w:tc>
          <w:tcPr>
            <w:tcW w:w="2806" w:type="dxa"/>
          </w:tcPr>
          <w:p>
            <w:pPr>
              <w:pStyle w:val="Compact"/>
              <w:jc w:val="left"/>
            </w:pPr>
            <w:r>
              <w:t xml:space="preserve">Работа в изолированном контуре без внешних сервисов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>
            <w:tcW w:w="2806" w:type="dxa"/>
          </w:tcPr>
          <w:p>
            <w:pPr>
              <w:pStyle w:val="Compact"/>
              <w:jc w:val="left"/>
            </w:pPr>
            <w:r>
              <w:t xml:space="preserve">Проверка описаний инструментов на tool poisoning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>
            <w:tcW w:w="2806" w:type="dxa"/>
          </w:tcPr>
          <w:p>
            <w:pPr>
              <w:pStyle w:val="Compact"/>
              <w:jc w:val="left"/>
            </w:pPr>
            <w:r>
              <w:t xml:space="preserve">Защита от инструкций, внедрённых в данные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</w:tr>
      <w:tr>
        <w:tc>
          <w:tcPr>
            <w:tcW w:w="2806" w:type="dxa"/>
          </w:tcPr>
          <w:p>
            <w:pPr>
              <w:pStyle w:val="Compact"/>
              <w:jc w:val="left"/>
            </w:pPr>
            <w:r>
              <w:t xml:space="preserve">Подтверждение критичных действий человеком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>
            <w:tcW w:w="2806" w:type="dxa"/>
          </w:tcPr>
          <w:p>
            <w:pPr>
              <w:pStyle w:val="Compact"/>
              <w:jc w:val="left"/>
            </w:pPr>
            <w:r>
              <w:t xml:space="preserve">Минимальные права в целевой системе (1С, почта)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>
            <w:tcW w:w="2806" w:type="dxa"/>
          </w:tcPr>
          <w:p>
            <w:pPr>
              <w:pStyle w:val="Compact"/>
              <w:jc w:val="left"/>
            </w:pPr>
            <w:r>
              <w:t xml:space="preserve">Сетевая изоляция каждого сервера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>
            <w:tcW w:w="2806" w:type="dxa"/>
          </w:tcPr>
          <w:p>
            <w:pPr>
              <w:pStyle w:val="Compact"/>
              <w:jc w:val="left"/>
            </w:pPr>
            <w:r>
              <w:t xml:space="preserve">Меры встроены в конвейер поставки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>
            <w:tcW w:w="2806" w:type="dxa"/>
          </w:tcPr>
          <w:p>
            <w:pPr>
              <w:pStyle w:val="Compact"/>
              <w:jc w:val="left"/>
            </w:pPr>
            <w:r>
              <w:t xml:space="preserve">Аудит вызовов инструментов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±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−</w:t>
            </w:r>
          </w:p>
        </w:tc>
        <w:tc>
          <w:tcPr>
            <w:tcW w:w="1309" w:type="dxa"/>
          </w:tcPr>
          <w:p>
            <w:pPr>
              <w:pStyle w:val="Compact"/>
              <w:jc w:val="center"/>
            </w:pPr>
            <w:r>
              <w:t xml:space="preserve">+</w:t>
            </w:r>
          </w:p>
        </w:tc>
      </w:tr>
    </w:tbl>
    <w:p>
      <w:pPr>
        <w:pStyle w:val="BodyText"/>
      </w:pPr>
      <w:r>
        <w:t xml:space="preserve">Обозначения: «+» — поддерживается, «±» — поддерживается частично, «−» — не поддерживается. Оценки аналогов сделаны по их документации. В столбце «Наше решение (план)» указаны планируемые свойства методики. Подтверждение критичных действий человеком в платформе уже есть, а проверка описаний на tool poisoning, сетевая изоляция всех серверов и аудит — цели ВКР.</w:t>
      </w:r>
    </w:p>
    <w:bookmarkEnd w:id="44"/>
    <w:bookmarkStart w:id="45" w:name="выводы-по-сравнению"/>
    <w:p>
      <w:pPr>
        <w:pStyle w:val="Heading3"/>
      </w:pPr>
      <w:r>
        <w:t xml:space="preserve">Выводы по сравнению</w:t>
      </w:r>
    </w:p>
    <w:p>
      <w:pPr>
        <w:pStyle w:val="Compact"/>
        <w:numPr>
          <w:ilvl w:val="0"/>
          <w:numId w:val="1004"/>
        </w:numPr>
      </w:pPr>
      <w:r>
        <w:rPr>
          <w:sz w:val="24"/>
        </w:rPr>
        <w:t xml:space="preserve">Аналоги защищают сам протокол MCP, но не целевую систему: права служебной учётной записи в 1С и сетевой доступ сервера они не затрагивают. Это ограничение ВКР устраняет.</w:t>
      </w:r>
    </w:p>
    <w:p>
      <w:pPr>
        <w:pStyle w:val="Compact"/>
        <w:numPr>
          <w:ilvl w:val="0"/>
          <w:numId w:val="1004"/>
        </w:numPr>
      </w:pPr>
      <w:r>
        <w:rPr>
          <w:sz w:val="24"/>
        </w:rPr>
        <w:t xml:space="preserve">Ни один аналог не останавливает критичное действие до подтверждения человеком, хотя только эта мера срабатывает даже при успешной prompt injection.</w:t>
      </w:r>
    </w:p>
    <w:p>
      <w:pPr>
        <w:pStyle w:val="Compact"/>
        <w:numPr>
          <w:ilvl w:val="0"/>
          <w:numId w:val="1004"/>
        </w:numPr>
      </w:pPr>
      <w:r>
        <w:rPr>
          <w:sz w:val="24"/>
        </w:rPr>
        <w:t xml:space="preserve">Полной защиты от инструкций в данных не даёт никто, поэтому ВКР нацелена на ограничение ущерба, а не на полное предотвращение атаки.</w:t>
      </w:r>
    </w:p>
    <w:p>
      <w:pPr>
        <w:pStyle w:val="Compact"/>
        <w:numPr>
          <w:ilvl w:val="0"/>
          <w:numId w:val="1004"/>
        </w:numPr>
      </w:pPr>
      <w:r>
        <w:rPr>
          <w:sz w:val="24"/>
        </w:rPr>
        <w:t xml:space="preserve">Из существующих решений можно взять сканеры описаний инструментов: их стоит встроить в конвейер поставки как шаг проверки сторонних серверов, если они работают без внешних сервисов. Сканеры также служат базовой линией в эксперименте.</w:t>
      </w:r>
    </w:p>
    <w:bookmarkEnd w:id="45"/>
    <w:bookmarkEnd w:id="46"/>
    <w:bookmarkStart w:id="52" w:name="Xf618df01bc798f56df6c79929eae7c394269418"/>
    <w:p>
      <w:pPr>
        <w:pStyle w:val="Heading2"/>
      </w:pPr>
      <w:r>
        <w:t xml:space="preserve">4. Итоги</w:t>
      </w:r>
    </w:p>
    <w:p>
      <w:pPr>
        <w:pStyle w:val="FirstParagraph"/>
      </w:pPr>
      <w:r>
        <w:rPr>
          <w:b/>
          <w:bCs/>
        </w:rPr>
        <w:t xml:space="preserve">Итоговая тема ВКР:</w:t>
      </w:r>
      <w:r>
        <w:t xml:space="preserve"> </w:t>
      </w:r>
      <w:r>
        <w:t xml:space="preserve">«Разработка методики безопасного развёртывания MCP-серверов для интеграции LLM-агентов с корпоративными системами в изолированных контурах». Тема по итогам обзора не изменилась.</w:t>
      </w:r>
    </w:p>
    <w:p>
      <w:pPr>
        <w:pStyle w:val="BodyText"/>
      </w:pPr>
      <w:r>
        <w:rPr>
          <w:b/>
          <w:bCs/>
        </w:rPr>
        <w:t xml:space="preserve">УДК для тезиса:</w:t>
      </w:r>
      <w:r>
        <w:t xml:space="preserve"> </w:t>
      </w:r>
      <w:r>
        <w:t xml:space="preserve">004.056 (защита информации), дополнительно 004.8 (искусственный интеллект).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LLM-агенты, Model Context Protocol, MCP, prompt injection, tool poisoning, модель угроз, DevSecOps, MLOps, изолированный контур, минимальные привилегии, human-in-the-loop.</w:t>
      </w:r>
    </w:p>
    <w:bookmarkStart w:id="47" w:name="актуальность-исследования"/>
    <w:p>
      <w:pPr>
        <w:pStyle w:val="Heading3"/>
      </w:pPr>
      <w:r>
        <w:t xml:space="preserve">Актуальность исследования</w:t>
      </w:r>
    </w:p>
    <w:p>
      <w:pPr>
        <w:pStyle w:val="FirstParagraph"/>
      </w:pPr>
      <w:r>
        <w:t xml:space="preserve">Компании подключают LLM-агентов к рабочим системам через MCP, и агент получает право изменять данные и отправлять письма. Исследования [2, 3, 5] показывают, что такого агента можно заставить выполнить чужую инструкцию из письма или документа, а надёжной защиты на уровне модели нет. Одновременно ФСТЭК России готовит требования к защите ИИ-систем, которые вступают в силу 1 марта 2027 года [10]. Существующие средства защищают сам протокол, но не ограничивают ущерб в целевой системе и часто требуют внешних сервисов, недоступных в закрытом контуре (раздел 3).</w:t>
      </w:r>
    </w:p>
    <w:bookmarkEnd w:id="47"/>
    <w:bookmarkStart w:id="48" w:name="цель-исследования"/>
    <w:p>
      <w:pPr>
        <w:pStyle w:val="Heading3"/>
      </w:pPr>
      <w:r>
        <w:t xml:space="preserve">Цель исследования</w:t>
      </w:r>
    </w:p>
    <w:p>
      <w:pPr>
        <w:pStyle w:val="FirstParagraph"/>
      </w:pPr>
      <w:r>
        <w:t xml:space="preserve">За счёт мер, встроенных в развёртывание MCP-серверов, не дать агенту, которым управляет злоумышленник, выполнить несанкционированную операцию в корпоративной системе или вывести данные за её пределы.</w:t>
      </w:r>
    </w:p>
    <w:bookmarkEnd w:id="48"/>
    <w:bookmarkStart w:id="49" w:name="задачи-исследования"/>
    <w:p>
      <w:pPr>
        <w:pStyle w:val="Heading3"/>
      </w:pPr>
      <w:r>
        <w:t xml:space="preserve">Задачи исследования</w:t>
      </w:r>
    </w:p>
    <w:p>
      <w:pPr>
        <w:pStyle w:val="Compact"/>
        <w:numPr>
          <w:ilvl w:val="0"/>
          <w:numId w:val="1005"/>
        </w:numPr>
      </w:pPr>
      <w:r>
        <w:rPr>
          <w:sz w:val="24"/>
        </w:rPr>
        <w:t xml:space="preserve">Построить модель угроз для связки «агент — MCP-сервер — корпоративная система» по методике STRIDE и перечню OWASP Top 10 for LLM.</w:t>
      </w:r>
    </w:p>
    <w:p>
      <w:pPr>
        <w:pStyle w:val="Compact"/>
        <w:numPr>
          <w:ilvl w:val="0"/>
          <w:numId w:val="1005"/>
        </w:numPr>
      </w:pPr>
      <w:r>
        <w:rPr>
          <w:sz w:val="24"/>
        </w:rPr>
        <w:t xml:space="preserve">Сравнить существующие средства защиты MCP и определить, какие угрозы они не закрывают.</w:t>
      </w:r>
    </w:p>
    <w:p>
      <w:pPr>
        <w:pStyle w:val="Compact"/>
        <w:numPr>
          <w:ilvl w:val="0"/>
          <w:numId w:val="1005"/>
        </w:numPr>
      </w:pPr>
      <w:r>
        <w:rPr>
          <w:sz w:val="24"/>
        </w:rPr>
        <w:t xml:space="preserve">Разработать набор мер: сетевые политики на каждый сервер, минимальные права служебных учётных записей, управление секретами, подтверждение критичных действий человеком, проверка сторонних серверов, аудит вызовов.</w:t>
      </w:r>
    </w:p>
    <w:p>
      <w:pPr>
        <w:pStyle w:val="Compact"/>
        <w:numPr>
          <w:ilvl w:val="0"/>
          <w:numId w:val="1005"/>
        </w:numPr>
      </w:pPr>
      <w:r>
        <w:rPr>
          <w:sz w:val="24"/>
        </w:rPr>
        <w:t xml:space="preserve">Встроить меры в конвейер поставки так, чтобы установка без них не проходила проверку.</w:t>
      </w:r>
    </w:p>
    <w:p>
      <w:pPr>
        <w:pStyle w:val="Compact"/>
        <w:numPr>
          <w:ilvl w:val="0"/>
          <w:numId w:val="1005"/>
        </w:numPr>
      </w:pPr>
      <w:r>
        <w:rPr>
          <w:sz w:val="24"/>
        </w:rPr>
        <w:t xml:space="preserve">Прогнать набор атакующих сценариев на стенде без мер и с мерами и измерить долю остановленных атак, число лишних запросов подтверждения и задержку вызовов инструментов.</w:t>
      </w:r>
    </w:p>
    <w:bookmarkEnd w:id="49"/>
    <w:bookmarkStart w:id="51" w:name="датасеты-и-сервисы"/>
    <w:p>
      <w:pPr>
        <w:pStyle w:val="Heading3"/>
      </w:pPr>
      <w:r>
        <w:t xml:space="preserve">Датасеты и сервисы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sz w:val="24"/>
        </w:rPr>
        <w:t xml:space="preserve">AgentDojo</w:t>
      </w:r>
      <w:r>
        <w:rPr>
          <w:sz w:val="24"/>
        </w:rPr>
        <w:t xml:space="preserve"> </w:t>
      </w:r>
      <w:r>
        <w:rPr>
          <w:sz w:val="24"/>
        </w:rPr>
        <w:t xml:space="preserve">[3] (</w:t>
      </w:r>
      <w:hyperlink r:id="rId50">
        <w:r>
          <w:rPr>
            <w:rStyle w:val="Hyperlink"/>
          </w:rPr>
          <w:t xml:space="preserve">GitHub</w:t>
        </w:r>
      </w:hyperlink>
      <w:r>
        <w:rPr>
          <w:sz w:val="24"/>
        </w:rPr>
        <w:t xml:space="preserve">) — открытый бенчмарк с готовыми сценариями prompt injection для агентов с инструментами, в том числе почтовых. Нужен как воспроизводимая часть атакующего набора. Доступен открыто.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sz w:val="24"/>
        </w:rPr>
        <w:t xml:space="preserve">Собственный набор атакующих сценариев</w:t>
      </w:r>
      <w:r>
        <w:rPr>
          <w:sz w:val="24"/>
        </w:rPr>
        <w:t xml:space="preserve"> </w:t>
      </w:r>
      <w:r>
        <w:rPr>
          <w:sz w:val="24"/>
        </w:rPr>
        <w:t xml:space="preserve">под 1С и почту: письма с внедрёнными инструкциями, попытки записи и вывода данных, отравленные описания инструментов. Нужен, потому что в открытых наборах нет сценариев для 1С. Будет собран в ходе работы. Тексты инъекций не публикуются, в отчётах приводятся классы сценариев и статистика.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sz w:val="24"/>
        </w:rPr>
        <w:t xml:space="preserve">Собственные стенды</w:t>
      </w:r>
      <w:r>
        <w:rPr>
          <w:sz w:val="24"/>
        </w:rPr>
        <w:t xml:space="preserve"> </w:t>
      </w:r>
      <w:r>
        <w:rPr>
          <w:sz w:val="24"/>
        </w:rPr>
        <w:t xml:space="preserve">— тестовый и предрелизный контуры платформы с тестовыми базами 1С и тестовым почтовым ящиком. Нужны для эксперимента: атаки прогоняются только на тестовых данных. Доступ есть у автора, публично стенды не открываются.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sz w:val="24"/>
        </w:rPr>
        <w:t xml:space="preserve">Cisco MCP Scanner и mcp-scan</w:t>
      </w:r>
      <w:r>
        <w:rPr>
          <w:sz w:val="24"/>
        </w:rPr>
        <w:t xml:space="preserve"> </w:t>
      </w:r>
      <w:r>
        <w:rPr>
          <w:sz w:val="24"/>
        </w:rPr>
        <w:t xml:space="preserve">— открытые сканеры, базовая линия для сравнения.</w:t>
      </w:r>
    </w:p>
    <w:bookmarkEnd w:id="51"/>
    <w:bookmarkEnd w:id="52"/>
    <w:bookmarkEnd w:id="53"/>
    <w:sectPr>
      <w:footnotePr>
        <w:numRestart w:val="eachSect"/>
      </w:footnotePr>
      <w:pgSz w:w="11906" w:h="16838"/>
      <w:pgMar w:left="1701" w:right="850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</w:style>
  <w:style w:styleId="BodyText" w:type="paragraph">
    <w:name w:val="Body Text"/>
    <w:basedOn w:val="Normal"/>
    <w:link w:val="BodyTextChar"/>
    <w:qFormat/>
    <w:pPr>
      <w:jc w:val="both"/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32"/>
      <w:szCs w:val="32"/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sz w:val="32"/>
      <w:szCs w:val="32"/>
      <w:rFonts w:ascii="Times New Roman" w:cs="Times New Roman" w:eastAsia="Times New Roman" w:hAnsi="Times New Roman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sz w:val="28"/>
      <w:szCs w:val="28"/>
      <w:rFonts w:ascii="Times New Roman" w:cs="Times New Roman" w:eastAsia="Times New Roman" w:hAnsi="Times New Roman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sz w:val="26"/>
      <w:szCs w:val="26"/>
      <w:rFonts w:ascii="Times New Roman" w:cs="Times New Roman" w:eastAsia="Times New Roman" w:hAnsi="Times New Roman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https://agentdojo.spylab.ai/" TargetMode="External"/><Relationship Id="rId22" Type="http://schemas.openxmlformats.org/officeDocument/2006/relationships/hyperlink" Target="https://aisec.cc/" TargetMode="External"/><Relationship Id="rId9" Type="http://schemas.openxmlformats.org/officeDocument/2006/relationships/hyperlink" Target="https://arxiv.org/abs/2302.12173" TargetMode="External"/><Relationship Id="rId11" Type="http://schemas.openxmlformats.org/officeDocument/2006/relationships/hyperlink" Target="https://arxiv.org/abs/2503.23278" TargetMode="External"/><Relationship Id="rId31" Type="http://schemas.openxmlformats.org/officeDocument/2006/relationships/hyperlink" Target="https://cyberrus.info/" TargetMode="External"/><Relationship Id="rId20" Type="http://schemas.openxmlformats.org/officeDocument/2006/relationships/hyperlink" Target="https://fstec.ru" TargetMode="External"/><Relationship Id="rId16" Type="http://schemas.openxmlformats.org/officeDocument/2006/relationships/hyperlink" Target="https://genai.owasp.org/llm-top-10/" TargetMode="External"/><Relationship Id="rId42" Type="http://schemas.openxmlformats.org/officeDocument/2006/relationships/hyperlink" Target="https://github.com/NVIDIA/NeMo-Guardrails" TargetMode="External"/><Relationship Id="rId19" Type="http://schemas.openxmlformats.org/officeDocument/2006/relationships/hyperlink" Target="https://github.com/cisco-ai-defense/mcp-scanner" TargetMode="External"/><Relationship Id="rId50" Type="http://schemas.openxmlformats.org/officeDocument/2006/relationships/hyperlink" Target="https://github.com/ethz-spylab/agentdojo" TargetMode="External"/><Relationship Id="rId18" Type="http://schemas.openxmlformats.org/officeDocument/2006/relationships/hyperlink" Target="https://github.com/invariantlabs-ai/mcp-scan" TargetMode="External"/><Relationship Id="rId17" Type="http://schemas.openxmlformats.org/officeDocument/2006/relationships/hyperlink" Target="https://invariantlabs.ai/blog/mcp-security-notification-tool-poisoning-attacks" TargetMode="External"/><Relationship Id="rId32" Type="http://schemas.openxmlformats.org/officeDocument/2006/relationships/hyperlink" Target="https://jisp.ru/" TargetMode="External"/><Relationship Id="rId28" Type="http://schemas.openxmlformats.org/officeDocument/2006/relationships/hyperlink" Target="https://kmu.itmo.ru/" TargetMode="External"/><Relationship Id="rId40" Type="http://schemas.openxmlformats.org/officeDocument/2006/relationships/hyperlink" Target="https://mcpservers.org/servers/aisecuritygateway-ai-docs-mcp-gateway" TargetMode="External"/><Relationship Id="rId15" Type="http://schemas.openxmlformats.org/officeDocument/2006/relationships/hyperlink" Target="https://modelcontextprotocol.io/specification/2025-06-18/basic/security_best_practices" TargetMode="External"/><Relationship Id="rId23" Type="http://schemas.openxmlformats.org/officeDocument/2006/relationships/hyperlink" Target="https://neurips.cc/" TargetMode="External"/><Relationship Id="rId30" Type="http://schemas.openxmlformats.org/officeDocument/2006/relationships/hyperlink" Target="https://ntv.ifmo.ru/" TargetMode="External"/><Relationship Id="rId13" Type="http://schemas.openxmlformats.org/officeDocument/2006/relationships/hyperlink" Target="https://ntv.ifmo.ru/ru/article/23311/bolshie_yazykovye_modeli_v_informacionnoy_bezopasnosti_i_testirovanii_na_proniknovenie:_sistematicheskiy_obzor_vozmozhnostey_primeneniya%C2%A0.htm" TargetMode="External"/><Relationship Id="rId27" Type="http://schemas.openxmlformats.org/officeDocument/2006/relationships/hyperlink" Target="https://offzone.moscow/" TargetMode="External"/><Relationship Id="rId26" Type="http://schemas.openxmlformats.org/officeDocument/2006/relationships/hyperlink" Target="https://phdays.com/" TargetMode="External"/><Relationship Id="rId37" Type="http://schemas.openxmlformats.org/officeDocument/2006/relationships/hyperlink" Target="https://regulation.gov.ru" TargetMode="External"/><Relationship Id="rId12" Type="http://schemas.openxmlformats.org/officeDocument/2006/relationships/hyperlink" Target="https://simonwillison.net/tags/prompt-injection/" TargetMode="External"/><Relationship Id="rId25" Type="http://schemas.openxmlformats.org/officeDocument/2006/relationships/hyperlink" Target="https://sp2025.ieee-security.org/" TargetMode="External"/><Relationship Id="rId34" Type="http://schemas.openxmlformats.org/officeDocument/2006/relationships/hyperlink" Target="https://www.computer.org/csdl/journal/tq" TargetMode="External"/><Relationship Id="rId33" Type="http://schemas.openxmlformats.org/officeDocument/2006/relationships/hyperlink" Target="https://www.sciencedirect.com/journal/computers-and-security" TargetMode="External"/><Relationship Id="rId24" Type="http://schemas.openxmlformats.org/officeDocument/2006/relationships/hyperlink" Target="https://www.usenix.org/conference/usenixsecurity25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https://agentdojo.spylab.ai/" TargetMode="External"/><Relationship Id="rId22" Type="http://schemas.openxmlformats.org/officeDocument/2006/relationships/hyperlink" Target="https://aisec.cc/" TargetMode="External"/><Relationship Id="rId9" Type="http://schemas.openxmlformats.org/officeDocument/2006/relationships/hyperlink" Target="https://arxiv.org/abs/2302.12173" TargetMode="External"/><Relationship Id="rId11" Type="http://schemas.openxmlformats.org/officeDocument/2006/relationships/hyperlink" Target="https://arxiv.org/abs/2503.23278" TargetMode="External"/><Relationship Id="rId31" Type="http://schemas.openxmlformats.org/officeDocument/2006/relationships/hyperlink" Target="https://cyberrus.info/" TargetMode="External"/><Relationship Id="rId20" Type="http://schemas.openxmlformats.org/officeDocument/2006/relationships/hyperlink" Target="https://fstec.ru" TargetMode="External"/><Relationship Id="rId16" Type="http://schemas.openxmlformats.org/officeDocument/2006/relationships/hyperlink" Target="https://genai.owasp.org/llm-top-10/" TargetMode="External"/><Relationship Id="rId42" Type="http://schemas.openxmlformats.org/officeDocument/2006/relationships/hyperlink" Target="https://github.com/NVIDIA/NeMo-Guardrails" TargetMode="External"/><Relationship Id="rId19" Type="http://schemas.openxmlformats.org/officeDocument/2006/relationships/hyperlink" Target="https://github.com/cisco-ai-defense/mcp-scanner" TargetMode="External"/><Relationship Id="rId50" Type="http://schemas.openxmlformats.org/officeDocument/2006/relationships/hyperlink" Target="https://github.com/ethz-spylab/agentdojo" TargetMode="External"/><Relationship Id="rId18" Type="http://schemas.openxmlformats.org/officeDocument/2006/relationships/hyperlink" Target="https://github.com/invariantlabs-ai/mcp-scan" TargetMode="External"/><Relationship Id="rId17" Type="http://schemas.openxmlformats.org/officeDocument/2006/relationships/hyperlink" Target="https://invariantlabs.ai/blog/mcp-security-notification-tool-poisoning-attacks" TargetMode="External"/><Relationship Id="rId32" Type="http://schemas.openxmlformats.org/officeDocument/2006/relationships/hyperlink" Target="https://jisp.ru/" TargetMode="External"/><Relationship Id="rId28" Type="http://schemas.openxmlformats.org/officeDocument/2006/relationships/hyperlink" Target="https://kmu.itmo.ru/" TargetMode="External"/><Relationship Id="rId40" Type="http://schemas.openxmlformats.org/officeDocument/2006/relationships/hyperlink" Target="https://mcpservers.org/servers/aisecuritygateway-ai-docs-mcp-gateway" TargetMode="External"/><Relationship Id="rId15" Type="http://schemas.openxmlformats.org/officeDocument/2006/relationships/hyperlink" Target="https://modelcontextprotocol.io/specification/2025-06-18/basic/security_best_practices" TargetMode="External"/><Relationship Id="rId23" Type="http://schemas.openxmlformats.org/officeDocument/2006/relationships/hyperlink" Target="https://neurips.cc/" TargetMode="External"/><Relationship Id="rId30" Type="http://schemas.openxmlformats.org/officeDocument/2006/relationships/hyperlink" Target="https://ntv.ifmo.ru/" TargetMode="External"/><Relationship Id="rId13" Type="http://schemas.openxmlformats.org/officeDocument/2006/relationships/hyperlink" Target="https://ntv.ifmo.ru/ru/article/23311/bolshie_yazykovye_modeli_v_informacionnoy_bezopasnosti_i_testirovanii_na_proniknovenie:_sistematicheskiy_obzor_vozmozhnostey_primeneniya%C2%A0.htm" TargetMode="External"/><Relationship Id="rId27" Type="http://schemas.openxmlformats.org/officeDocument/2006/relationships/hyperlink" Target="https://offzone.moscow/" TargetMode="External"/><Relationship Id="rId26" Type="http://schemas.openxmlformats.org/officeDocument/2006/relationships/hyperlink" Target="https://phdays.com/" TargetMode="External"/><Relationship Id="rId37" Type="http://schemas.openxmlformats.org/officeDocument/2006/relationships/hyperlink" Target="https://regulation.gov.ru" TargetMode="External"/><Relationship Id="rId12" Type="http://schemas.openxmlformats.org/officeDocument/2006/relationships/hyperlink" Target="https://simonwillison.net/tags/prompt-injection/" TargetMode="External"/><Relationship Id="rId25" Type="http://schemas.openxmlformats.org/officeDocument/2006/relationships/hyperlink" Target="https://sp2025.ieee-security.org/" TargetMode="External"/><Relationship Id="rId34" Type="http://schemas.openxmlformats.org/officeDocument/2006/relationships/hyperlink" Target="https://www.computer.org/csdl/journal/tq" TargetMode="External"/><Relationship Id="rId33" Type="http://schemas.openxmlformats.org/officeDocument/2006/relationships/hyperlink" Target="https://www.sciencedirect.com/journal/computers-and-security" TargetMode="External"/><Relationship Id="rId24" Type="http://schemas.openxmlformats.org/officeDocument/2006/relationships/hyperlink" Target="https://www.usenix.org/conference/usenixsecurity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2026-10-26T13:04:10Z</dcterms:created>
  <dcterms:modified xsi:type="dcterms:W3CDTF">2026-10-26T13:04:10Z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