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73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УДК 711.4.01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ПРОСТРАНСТВЕННОГО РАЗМЕЩЕНИЯ ОПОРНЫХ НАСЕЛЕННЫХ ПУНКТОВ </w:t>
      </w:r>
    </w:p>
    <w:p w:rsidR="00000000" w:rsidDel="00000000" w:rsidP="00000000" w:rsidRDefault="00000000" w:rsidRPr="00000000" w14:paraId="00000003">
      <w:pPr>
        <w:spacing w:before="1" w:lineRule="auto"/>
        <w:jc w:val="center"/>
        <w:rPr/>
      </w:pPr>
      <w:r w:rsidDel="00000000" w:rsidR="00000000" w:rsidRPr="00000000">
        <w:rPr>
          <w:rtl w:val="0"/>
        </w:rPr>
        <w:t xml:space="preserve">Пьянкова Е.А. (ИТМО), Таволжанская П.А. (ИТМО), Шишмарёв А.В. (ИТМО)</w:t>
      </w:r>
    </w:p>
    <w:p w:rsidR="00000000" w:rsidDel="00000000" w:rsidP="00000000" w:rsidRDefault="00000000" w:rsidRPr="00000000" w14:paraId="00000004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Научный руководитель – ассистент Чурякова Т.А.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(ИТМО)</w:t>
      </w:r>
    </w:p>
    <w:p w:rsidR="00000000" w:rsidDel="00000000" w:rsidP="00000000" w:rsidRDefault="00000000" w:rsidRPr="00000000" w14:paraId="00000006">
      <w:pPr>
        <w:ind w:firstLine="765"/>
        <w:jc w:val="both"/>
        <w:rPr/>
      </w:pPr>
      <w:r w:rsidDel="00000000" w:rsidR="00000000" w:rsidRPr="00000000">
        <w:rPr>
          <w:b w:val="1"/>
          <w:rtl w:val="0"/>
        </w:rPr>
        <w:t xml:space="preserve">Введение.</w:t>
      </w:r>
      <w:r w:rsidDel="00000000" w:rsidR="00000000" w:rsidRPr="00000000">
        <w:rPr>
          <w:rtl w:val="0"/>
        </w:rPr>
        <w:t xml:space="preserve"> В 2024 году Президиумом Правительственной комиссии по региональному развитию в Российской Федерации был определён Единый перечень опорных населённых пунктов Российской Федерации, в который вошло более двух тысяч поселений, имеющих значимость для развития как на региональном, так и на федеральном уровне [1]. Данный перечень является ключевым инструментом для формирования стратегий регионального развития, однако отсутствие структурированных данных в геоинформационном формате ограничивает возможности их эффективного использования, что вынуждает организации затрачивать значительные временные и материальные ресурсы на ручную обработку информации. Вследствие этого существует необходимость разработки алгоритма автоматизированной обработки и визуализации данных.</w:t>
      </w:r>
    </w:p>
    <w:p w:rsidR="00000000" w:rsidDel="00000000" w:rsidP="00000000" w:rsidRDefault="00000000" w:rsidRPr="00000000" w14:paraId="00000007">
      <w:pPr>
        <w:ind w:firstLine="765"/>
        <w:jc w:val="both"/>
        <w:rPr/>
      </w:pPr>
      <w:r w:rsidDel="00000000" w:rsidR="00000000" w:rsidRPr="00000000">
        <w:rPr>
          <w:b w:val="1"/>
          <w:rtl w:val="0"/>
        </w:rPr>
        <w:t xml:space="preserve">Основная часть.</w:t>
      </w:r>
      <w:r w:rsidDel="00000000" w:rsidR="00000000" w:rsidRPr="00000000">
        <w:rPr>
          <w:rtl w:val="0"/>
        </w:rPr>
        <w:t xml:space="preserve"> Предложенный алгоритм анализа пространственного размещения опорных населённых пунктов основана на применении инструментов геоинформационных систем, открытой базы данных Федеральной службы государственной статистики [2], а также данных, собранных и обработанных на платформе Инфраструктуры научно-исследовательских данных [3]. </w:t>
      </w:r>
    </w:p>
    <w:p w:rsidR="00000000" w:rsidDel="00000000" w:rsidP="00000000" w:rsidRDefault="00000000" w:rsidRPr="00000000" w14:paraId="00000008">
      <w:pPr>
        <w:ind w:firstLine="765"/>
        <w:jc w:val="both"/>
        <w:rPr/>
      </w:pPr>
      <w:r w:rsidDel="00000000" w:rsidR="00000000" w:rsidRPr="00000000">
        <w:rPr>
          <w:rtl w:val="0"/>
        </w:rPr>
        <w:t xml:space="preserve">Целью работы является создание геоинформационного слоя с опорными населёнными пунктами, включающего их координаты, критерии включения в Единый перечень, а также определение их пространственного расположения в границах субъектов Российской Федерации и федеральных округов.</w:t>
      </w:r>
    </w:p>
    <w:p w:rsidR="00000000" w:rsidDel="00000000" w:rsidP="00000000" w:rsidRDefault="00000000" w:rsidRPr="00000000" w14:paraId="00000009">
      <w:pPr>
        <w:ind w:firstLine="765"/>
        <w:jc w:val="both"/>
        <w:rPr/>
      </w:pPr>
      <w:r w:rsidDel="00000000" w:rsidR="00000000" w:rsidRPr="00000000">
        <w:rPr>
          <w:rtl w:val="0"/>
        </w:rPr>
        <w:t xml:space="preserve">На первом этапе была сформирована и актуализирована база данных населённых пунктов. На основе сведений о местоположении населённого пункта осуществлялась геокодировка объектов. Обработанные геослои были сопоставлены с актуальными идентификаторами Общероссийского классификатора территорий муниципальных образований, представленными на сайте Федеральной службы государственной статистики. Включение данных идентификаторов обеспечивает возможность обновления базы и её дополнения новой информацией в случае изменений административно-территориального деления.</w:t>
      </w:r>
    </w:p>
    <w:p w:rsidR="00000000" w:rsidDel="00000000" w:rsidP="00000000" w:rsidRDefault="00000000" w:rsidRPr="00000000" w14:paraId="0000000A">
      <w:pPr>
        <w:ind w:firstLine="765"/>
        <w:jc w:val="both"/>
        <w:rPr/>
      </w:pPr>
      <w:r w:rsidDel="00000000" w:rsidR="00000000" w:rsidRPr="00000000">
        <w:rPr>
          <w:rtl w:val="0"/>
        </w:rPr>
        <w:t xml:space="preserve">На втором этапе производилось определение принадлежности опорных населённых пунктов муниципальным образованиям, регионам и федеральным округам. Атрибуты представляют особую ценность для проведения пространственного анализа.</w:t>
      </w:r>
    </w:p>
    <w:p w:rsidR="00000000" w:rsidDel="00000000" w:rsidP="00000000" w:rsidRDefault="00000000" w:rsidRPr="00000000" w14:paraId="0000000B">
      <w:pPr>
        <w:ind w:firstLine="765"/>
        <w:jc w:val="both"/>
        <w:rPr/>
      </w:pPr>
      <w:r w:rsidDel="00000000" w:rsidR="00000000" w:rsidRPr="00000000">
        <w:rPr>
          <w:rtl w:val="0"/>
        </w:rPr>
        <w:t xml:space="preserve">На третьем этапе данные о численности населения в муниципальных образованиях из базы данных Росстата были распределены по населённым пунктам с использованием методов Института дизайна и урбанистики [4,5].</w:t>
      </w:r>
    </w:p>
    <w:p w:rsidR="00000000" w:rsidDel="00000000" w:rsidP="00000000" w:rsidRDefault="00000000" w:rsidRPr="00000000" w14:paraId="0000000C">
      <w:pPr>
        <w:ind w:firstLine="765"/>
        <w:jc w:val="both"/>
        <w:rPr/>
      </w:pPr>
      <w:r w:rsidDel="00000000" w:rsidR="00000000" w:rsidRPr="00000000">
        <w:rPr>
          <w:rtl w:val="0"/>
        </w:rPr>
        <w:t xml:space="preserve">Дальнейшие этапы включали аналитическую обработку полученных данных: анализ доли населения, проживающего в опорных населённых пунктах, классификацию поселений по численности населения в соответствии с нормами, изложенными в Своде правил [6], а также оценку соответствия критериям включения поселения в состав опорных населённых пунктов. В частности, были рассмотрены факторы, указывающие на принадлежность поселения к городской агломерации, его статус (например, обеспечение национальной безопасности, наличие статуса наукограда, роль в</w:t>
      </w:r>
      <w:r w:rsidDel="00000000" w:rsidR="00000000" w:rsidRPr="00000000">
        <w:rPr>
          <w:rtl w:val="0"/>
        </w:rPr>
        <w:t xml:space="preserve"> реализации</w:t>
      </w:r>
      <w:r w:rsidDel="00000000" w:rsidR="00000000" w:rsidRPr="00000000">
        <w:rPr>
          <w:rtl w:val="0"/>
        </w:rPr>
        <w:t xml:space="preserve"> инвестиционных проектов и др.).</w:t>
      </w:r>
    </w:p>
    <w:p w:rsidR="00000000" w:rsidDel="00000000" w:rsidP="00000000" w:rsidRDefault="00000000" w:rsidRPr="00000000" w14:paraId="0000000D">
      <w:pPr>
        <w:ind w:firstLine="765"/>
        <w:jc w:val="both"/>
        <w:rPr/>
      </w:pPr>
      <w:r w:rsidDel="00000000" w:rsidR="00000000" w:rsidRPr="00000000">
        <w:rPr>
          <w:b w:val="1"/>
          <w:rtl w:val="0"/>
        </w:rPr>
        <w:t xml:space="preserve">Выводы.</w:t>
      </w:r>
      <w:r w:rsidDel="00000000" w:rsidR="00000000" w:rsidRPr="00000000">
        <w:rPr>
          <w:rtl w:val="0"/>
        </w:rPr>
        <w:t xml:space="preserve"> Разработанный алгоритм по обработке текстовых данных и их преобразования в векторный формат с дополнительными атрибутами, определяющими характеристики населённого пункта, представляет собой значимый инструмент анализа пространственного размещения опорных населённых пунктов. Дальнейшая работа с данным алгоритмом будет осуществляться в рамках Института дизайна и урбанистики.</w:t>
      </w:r>
    </w:p>
    <w:p w:rsidR="00000000" w:rsidDel="00000000" w:rsidP="00000000" w:rsidRDefault="00000000" w:rsidRPr="00000000" w14:paraId="0000000E">
      <w:pPr>
        <w:ind w:firstLine="765"/>
        <w:jc w:val="both"/>
        <w:rPr/>
      </w:pPr>
      <w:r w:rsidDel="00000000" w:rsidR="00000000" w:rsidRPr="00000000">
        <w:rPr>
          <w:rtl w:val="0"/>
        </w:rPr>
        <w:t xml:space="preserve">Практическая значимость данной работы заключается в её универсальности и возможности адаптации для обработки других текстовых данных. Применение инструментов геокодирования позволяет автоматизировать обработку больших массивов данных, что значительно упрощает работу</w:t>
      </w:r>
      <w:r w:rsidDel="00000000" w:rsidR="00000000" w:rsidRPr="00000000">
        <w:rPr>
          <w:rtl w:val="0"/>
        </w:rPr>
        <w:t xml:space="preserve"> органов местного самоуправления, планировщиков или исследователей в области урбанистик</w:t>
      </w:r>
      <w:r w:rsidDel="00000000" w:rsidR="00000000" w:rsidRPr="00000000">
        <w:rPr>
          <w:color w:val="404040"/>
          <w:rtl w:val="0"/>
        </w:rPr>
        <w:t xml:space="preserve">и, </w:t>
      </w:r>
      <w:r w:rsidDel="00000000" w:rsidR="00000000" w:rsidRPr="00000000">
        <w:rPr>
          <w:rtl w:val="0"/>
        </w:rPr>
        <w:t xml:space="preserve">специалистов в области аналитики</w:t>
      </w:r>
      <w:r w:rsidDel="00000000" w:rsidR="00000000" w:rsidRPr="00000000">
        <w:rPr>
          <w:rtl w:val="0"/>
        </w:rPr>
        <w:t xml:space="preserve">. Подготовленный геоинформационный слой представляет собой актуализированную базу данных, важную для социально-экономического развития регионов.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b w:val="1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567"/>
        <w:jc w:val="both"/>
        <w:rPr/>
      </w:pPr>
      <w:r w:rsidDel="00000000" w:rsidR="00000000" w:rsidRPr="00000000">
        <w:rPr>
          <w:rtl w:val="0"/>
        </w:rPr>
        <w:t xml:space="preserve">Протокол заочного голосования президиума (штаба) Правительственной комиссии по региональному развитию в Российской Федерации от 16 декабря 2024 г. № 143пр «Об утверждении перечня опорных населенных пунктов Российской Федерации». – М.,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567"/>
        <w:jc w:val="both"/>
        <w:rPr/>
      </w:pPr>
      <w:r w:rsidDel="00000000" w:rsidR="00000000" w:rsidRPr="00000000">
        <w:rPr>
          <w:rtl w:val="0"/>
        </w:rPr>
        <w:t xml:space="preserve">Федеральная служба государственной статистики Российской Федерации [Электронный ресурс]. – URL:</w:t>
      </w:r>
      <w:r w:rsidDel="00000000" w:rsidR="00000000" w:rsidRPr="00000000">
        <w:rPr>
          <w:color w:val="404040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rtl w:val="0"/>
          </w:rPr>
          <w:t xml:space="preserve">https://rosstat.gov.ru/</w:t>
        </w:r>
      </w:hyperlink>
      <w:r w:rsidDel="00000000" w:rsidR="00000000" w:rsidRPr="00000000">
        <w:rPr>
          <w:color w:val="4040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Платформа Инфраструктуры научно-исследовательских данных. [Электронный ресурс]. 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https://data.rcsi.science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Blocksnet: библиотека для анализа градостроительных данных [Электронный ресурс] / Разработчики: AIM Club.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https://github.com/aimclub/blocksnet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ObjectNat: библиотека для работы с пространственными данными [Электронный ресурс] / Разработчики: AIM Club. –</w:t>
      </w:r>
      <w:r w:rsidDel="00000000" w:rsidR="00000000" w:rsidRPr="00000000">
        <w:rPr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 URL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https://pypi.org/project/ObjectNat/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СП 42.13330.2011. Градостроительство. Планировка и застройка городских и сельских поселений. Актуализированная редакция СНиП 2.07.01-89*. – Введ. 20 мая 2011 г. – М.: Минрегион России, 2011. – 87 с.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276" w:top="1134" w:left="1134" w:right="113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928" w:hanging="360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ind w:left="735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qFormat w:val="1"/>
    <w:rsid w:val="00FB480E"/>
    <w:pPr>
      <w:spacing w:after="0" w:line="240" w:lineRule="auto"/>
    </w:pPr>
    <w:rPr>
      <w:rFonts w:ascii="Times New Roman" w:cs="Times New Roman" w:eastAsia="Calibri" w:hAnsi="Times New Roman"/>
      <w:kern w:val="0"/>
      <w:sz w:val="24"/>
      <w:szCs w:val="24"/>
    </w:rPr>
  </w:style>
  <w:style w:type="paragraph" w:styleId="1">
    <w:name w:val="heading 1"/>
    <w:basedOn w:val="a0"/>
    <w:link w:val="10"/>
    <w:uiPriority w:val="9"/>
    <w:qFormat w:val="1"/>
    <w:rsid w:val="00FB480E"/>
    <w:pPr>
      <w:widowControl w:val="0"/>
      <w:autoSpaceDE w:val="0"/>
      <w:autoSpaceDN w:val="0"/>
      <w:ind w:left="735"/>
      <w:jc w:val="center"/>
      <w:outlineLvl w:val="0"/>
    </w:pPr>
    <w:rPr>
      <w:rFonts w:eastAsia="Times New Roman"/>
      <w:b w:val="1"/>
      <w:bCs w:val="1"/>
      <w:lang w:bidi="ru-RU" w:eastAsia="ru-RU"/>
    </w:rPr>
  </w:style>
  <w:style w:type="character" w:styleId="a1" w:default="1">
    <w:name w:val="Default Paragraph Font"/>
    <w:uiPriority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1"/>
    <w:link w:val="1"/>
    <w:uiPriority w:val="9"/>
    <w:rsid w:val="00FB480E"/>
    <w:rPr>
      <w:rFonts w:ascii="Times New Roman" w:cs="Times New Roman" w:eastAsia="Times New Roman" w:hAnsi="Times New Roman"/>
      <w:b w:val="1"/>
      <w:bCs w:val="1"/>
      <w:kern w:val="0"/>
      <w:sz w:val="24"/>
      <w:szCs w:val="24"/>
      <w:lang w:bidi="ru-RU" w:eastAsia="ru-RU"/>
    </w:rPr>
  </w:style>
  <w:style w:type="paragraph" w:styleId="a4">
    <w:name w:val="List Paragraph"/>
    <w:basedOn w:val="a0"/>
    <w:uiPriority w:val="1"/>
    <w:qFormat w:val="1"/>
    <w:rsid w:val="00FB480E"/>
    <w:pPr>
      <w:ind w:left="720"/>
      <w:contextualSpacing w:val="1"/>
    </w:pPr>
  </w:style>
  <w:style w:type="paragraph" w:styleId="a5">
    <w:name w:val="Body Text"/>
    <w:basedOn w:val="a0"/>
    <w:link w:val="a6"/>
    <w:uiPriority w:val="1"/>
    <w:qFormat w:val="1"/>
    <w:rsid w:val="00FB480E"/>
    <w:pPr>
      <w:widowControl w:val="0"/>
      <w:autoSpaceDE w:val="0"/>
      <w:autoSpaceDN w:val="0"/>
      <w:ind w:left="192"/>
    </w:pPr>
    <w:rPr>
      <w:rFonts w:eastAsia="Times New Roman"/>
      <w:lang w:bidi="ru-RU" w:eastAsia="ru-RU"/>
    </w:rPr>
  </w:style>
  <w:style w:type="character" w:styleId="a6" w:customStyle="1">
    <w:name w:val="Основной текст Знак"/>
    <w:basedOn w:val="a1"/>
    <w:link w:val="a5"/>
    <w:uiPriority w:val="1"/>
    <w:rsid w:val="00FB480E"/>
    <w:rPr>
      <w:rFonts w:ascii="Times New Roman" w:cs="Times New Roman" w:eastAsia="Times New Roman" w:hAnsi="Times New Roman"/>
      <w:kern w:val="0"/>
      <w:sz w:val="24"/>
      <w:szCs w:val="24"/>
      <w:lang w:bidi="ru-RU" w:eastAsia="ru-RU"/>
    </w:rPr>
  </w:style>
  <w:style w:type="character" w:styleId="a7">
    <w:name w:val="annotation reference"/>
    <w:basedOn w:val="a1"/>
    <w:uiPriority w:val="99"/>
    <w:semiHidden w:val="1"/>
    <w:unhideWhenUsed w:val="1"/>
    <w:rsid w:val="00957C57"/>
    <w:rPr>
      <w:sz w:val="16"/>
      <w:szCs w:val="16"/>
    </w:rPr>
  </w:style>
  <w:style w:type="paragraph" w:styleId="a8">
    <w:name w:val="annotation text"/>
    <w:basedOn w:val="a0"/>
    <w:link w:val="a9"/>
    <w:uiPriority w:val="99"/>
    <w:unhideWhenUsed w:val="1"/>
    <w:rsid w:val="00957C57"/>
    <w:rPr>
      <w:sz w:val="20"/>
      <w:szCs w:val="20"/>
    </w:rPr>
  </w:style>
  <w:style w:type="character" w:styleId="a9" w:customStyle="1">
    <w:name w:val="Текст примечания Знак"/>
    <w:basedOn w:val="a1"/>
    <w:link w:val="a8"/>
    <w:uiPriority w:val="99"/>
    <w:rsid w:val="00957C57"/>
    <w:rPr>
      <w:rFonts w:ascii="Times New Roman" w:cs="Times New Roman" w:eastAsia="Calibri" w:hAnsi="Times New Roman"/>
      <w:kern w:val="0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 w:val="1"/>
    <w:unhideWhenUsed w:val="1"/>
    <w:rsid w:val="00957C57"/>
    <w:rPr>
      <w:b w:val="1"/>
      <w:bCs w:val="1"/>
    </w:rPr>
  </w:style>
  <w:style w:type="character" w:styleId="ab" w:customStyle="1">
    <w:name w:val="Тема примечания Знак"/>
    <w:basedOn w:val="a9"/>
    <w:link w:val="aa"/>
    <w:uiPriority w:val="99"/>
    <w:semiHidden w:val="1"/>
    <w:rsid w:val="00957C57"/>
    <w:rPr>
      <w:rFonts w:ascii="Times New Roman" w:cs="Times New Roman" w:eastAsia="Calibri" w:hAnsi="Times New Roman"/>
      <w:b w:val="1"/>
      <w:bCs w:val="1"/>
      <w:kern w:val="0"/>
      <w:sz w:val="20"/>
      <w:szCs w:val="20"/>
    </w:rPr>
  </w:style>
  <w:style w:type="character" w:styleId="ac">
    <w:name w:val="Hyperlink"/>
    <w:basedOn w:val="a1"/>
    <w:uiPriority w:val="99"/>
    <w:unhideWhenUsed w:val="1"/>
    <w:rsid w:val="005D4B22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 w:val="1"/>
    <w:unhideWhenUsed w:val="1"/>
    <w:rsid w:val="005D4B22"/>
    <w:rPr>
      <w:color w:val="605e5c"/>
      <w:shd w:color="auto" w:fill="e1dfdd" w:val="clear"/>
    </w:rPr>
  </w:style>
  <w:style w:type="paragraph" w:styleId="a" w:customStyle="1">
    <w:name w:val="ГОСТ"/>
    <w:basedOn w:val="a4"/>
    <w:link w:val="ae"/>
    <w:autoRedefine w:val="1"/>
    <w:qFormat w:val="1"/>
    <w:rsid w:val="00A92154"/>
    <w:pPr>
      <w:numPr>
        <w:numId w:val="3"/>
      </w:numPr>
      <w:tabs>
        <w:tab w:val="left" w:pos="567"/>
      </w:tabs>
      <w:ind w:left="0" w:firstLine="567"/>
      <w:jc w:val="both"/>
    </w:pPr>
    <w:rPr>
      <w:rFonts w:eastAsiaTheme="minorHAnsi"/>
      <w:kern w:val="2"/>
      <w:shd w:color="auto" w:fill="ffffff" w:val="clear"/>
    </w:rPr>
  </w:style>
  <w:style w:type="character" w:styleId="ae" w:customStyle="1">
    <w:name w:val="ГОСТ Знак"/>
    <w:basedOn w:val="a1"/>
    <w:link w:val="a"/>
    <w:rsid w:val="00A92154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ypi.org/project/ObjectNat/" TargetMode="External"/><Relationship Id="rId9" Type="http://schemas.openxmlformats.org/officeDocument/2006/relationships/hyperlink" Target="https://github.com/aimclub/blocksne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osstat.gov.ru/" TargetMode="External"/><Relationship Id="rId8" Type="http://schemas.openxmlformats.org/officeDocument/2006/relationships/hyperlink" Target="https://data.rcsi.scienc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Ou7Itox8BZmqI7CQjFg51OuqXA==">CgMxLjA4AHIhMUV3TWY1RHhGUUlhUnJtSXFORmFzOHFfeVJHVk1tNktC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2025-02-13T13:43:00Z</dcterms:created>
  <dc:creator>Липин Дмитрий Александрович</dc:creator>
</cp:coreProperties>
</file>