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rFonts w:ascii="Times New Roman" w:hAnsi="Times New Roman" w:eastAsia="Times New Roman"/>
          <w:b/>
          <w:sz w:val="28"/>
        </w:rPr>
        <w:t>КРЕДИТНЫЙ ДОГОВОР № КД-24/1187-ЛК</w:t>
      </w:r>
    </w:p>
    <w:p>
      <w:pPr>
        <w:spacing w:after="60" w:line="252" w:lineRule="auto"/>
        <w:jc w:val="center"/>
      </w:pPr>
      <w:r>
        <w:rPr>
          <w:rFonts w:ascii="Times New Roman" w:hAnsi="Times New Roman" w:eastAsia="Times New Roman"/>
          <w:sz w:val="24"/>
        </w:rPr>
        <w:t>г. Санкт-Петербург                                                                                         15 марта 2026 г.</w:t>
      </w:r>
    </w:p>
    <w:p>
      <w:pPr>
        <w:spacing w:after="60" w:line="252" w:lineRule="auto"/>
        <w:ind w:firstLine="567"/>
      </w:pPr>
      <w:r>
        <w:rPr>
          <w:rFonts w:ascii="Times New Roman" w:hAnsi="Times New Roman" w:eastAsia="Times New Roman"/>
          <w:sz w:val="24"/>
        </w:rPr>
        <w:t>Публичное акционерное общество «Банк Северная Орбита», именуемое в дальнейшем «Кредитор», «Банк-эмитент» и «исполняющий банк», в лице заместителя председателя правления Орлов Павел Сергеевич, действующего на основании Устава Банка и доверенности БСО-77/26, с одной стороны, и Общество с ограниченной ответственностью «Специализированный застройщик «Лазурный Контур», сокращенное наименование — ООО «Лазурный Контур», именуемое в дальнейшем «Заемщик», в лице генерального директора Белова Елена Викторовна, действующего на основании Устава Общества и решения участника № 14/26, с другой стороны, совместно именуемые «Стороны», заключили настоящий договор о нижеследующем.</w:t>
      </w:r>
    </w:p>
    <w:p>
      <w:pPr>
        <w:spacing w:after="60" w:line="252" w:lineRule="auto"/>
        <w:ind w:firstLine="567"/>
      </w:pPr>
      <w:r>
        <w:rPr>
          <w:rFonts w:ascii="Times New Roman" w:hAnsi="Times New Roman" w:eastAsia="Times New Roman"/>
          <w:sz w:val="24"/>
        </w:rPr>
        <w:t>В исполнении настоящего договора также участвуют Общество с ограниченной ответственностью «Полярный Резерв» в качестве Поручителя, Акционерное общество «Квант Групп» в качестве Залогодателя, ИП Громов Артем Валерьевич в качестве независимого консультанта, а также Карпов Денис Андреевич как представитель Общество с ограниченной ответственностью «Гранит-Финанс». При повторном упоминании допускаются обозначения ООО «Полярный Резерв», ПАО «Банк Северная Орбита», Орлов П.С. и Карпов Д.А..</w:t>
      </w:r>
    </w:p>
    <w:p>
      <w:pPr>
        <w:spacing w:before="120" w:after="80"/>
        <w:jc w:val="left"/>
      </w:pPr>
      <w:r>
        <w:rPr>
          <w:rFonts w:ascii="Times New Roman" w:hAnsi="Times New Roman" w:eastAsia="Times New Roman"/>
          <w:b/>
          <w:sz w:val="24"/>
        </w:rPr>
        <w:t>1. Предмет договора</w:t>
      </w:r>
    </w:p>
    <w:p>
      <w:pPr>
        <w:spacing w:after="40" w:line="252" w:lineRule="auto"/>
        <w:ind w:left="454" w:hanging="198"/>
      </w:pPr>
      <w:r>
        <w:rPr>
          <w:rFonts w:ascii="Times New Roman" w:hAnsi="Times New Roman" w:eastAsia="Times New Roman"/>
          <w:sz w:val="24"/>
        </w:rPr>
        <w:t>1.1. Кредитор открывает Заемщику кредитную линию № НКЛ-77/24-1187 с лимитом задолженности, определяемым в приложении к настоящему договору.</w:t>
      </w:r>
    </w:p>
    <w:p>
      <w:pPr>
        <w:spacing w:after="40" w:line="252" w:lineRule="auto"/>
        <w:ind w:left="454" w:hanging="198"/>
      </w:pPr>
      <w:r>
        <w:rPr>
          <w:rFonts w:ascii="Times New Roman" w:hAnsi="Times New Roman" w:eastAsia="Times New Roman"/>
          <w:sz w:val="24"/>
        </w:rPr>
        <w:t>1.2. Заемщик использует денежные средства для финансирования проекта жилой комплекс «Лазурная Верфь», реализуемого на земельном участке с кадастровым номером 77:05:0008123:4512, расположенном по адресу: г. Санкт-Петербург, пр-кт Архитекторов, д. 27, корп. 2.</w:t>
      </w:r>
    </w:p>
    <w:p>
      <w:pPr>
        <w:spacing w:after="40" w:line="252" w:lineRule="auto"/>
        <w:ind w:left="454" w:hanging="198"/>
      </w:pPr>
      <w:r>
        <w:rPr>
          <w:rFonts w:ascii="Times New Roman" w:hAnsi="Times New Roman" w:eastAsia="Times New Roman"/>
          <w:sz w:val="24"/>
        </w:rPr>
        <w:t>1.3. Проектная документация включает разрешение на строительство № RU77-05-8123-2026, проектную декларацию № ПД-ЛК-2026-03, ГПЗУ № 77-05-ГПЗУ-9182, запись ЕГРН № 77:05:0008123:4512-77/052/2026-3 и договор участия в долевом строительстве № ДДУ-77/1187-К1.</w:t>
      </w:r>
    </w:p>
    <w:p>
      <w:pPr>
        <w:spacing w:after="40" w:line="252" w:lineRule="auto"/>
        <w:ind w:left="454" w:hanging="198"/>
      </w:pPr>
      <w:r>
        <w:rPr>
          <w:rFonts w:ascii="Times New Roman" w:hAnsi="Times New Roman" w:eastAsia="Times New Roman"/>
          <w:sz w:val="24"/>
        </w:rPr>
        <w:t>1.4. Родовые наименования объекта, включая земельный участок, многоквартирный дом, встроенные помещения, подземный паркинг и объект строительства, используются только как описание предмета и не являются самостоятельными заменяемыми сущностями.</w:t>
      </w:r>
    </w:p>
    <w:p>
      <w:pPr>
        <w:spacing w:before="120" w:after="80"/>
        <w:jc w:val="left"/>
      </w:pPr>
      <w:r>
        <w:rPr>
          <w:rFonts w:ascii="Times New Roman" w:hAnsi="Times New Roman" w:eastAsia="Times New Roman"/>
          <w:b/>
          <w:sz w:val="24"/>
        </w:rPr>
        <w:t>2. Идентификация сторон и документы</w:t>
      </w:r>
    </w:p>
    <w:p>
      <w:pPr>
        <w:spacing w:after="60" w:line="252" w:lineRule="auto"/>
        <w:ind w:firstLine="567"/>
      </w:pPr>
      <w:r>
        <w:rPr>
          <w:rFonts w:ascii="Times New Roman" w:hAnsi="Times New Roman" w:eastAsia="Times New Roman"/>
          <w:sz w:val="24"/>
        </w:rPr>
        <w:t>Сведения о Заемщике: ИНН 7812345670, ОГРН 1267800001187, КПП 781201001, ОКПО 58743129, ОКТМО 40387000000, ОКАТО 40298565000. Сведения о Поручителе: ИНН 7845123987, ОГРН 1227800045123, КПП 784501001. Сведения об индивидуальном предпринимателе: ОГРНИП 326780512345678, ИНН 780512345678.</w:t>
      </w:r>
    </w:p>
    <w:p>
      <w:pPr>
        <w:spacing w:after="60" w:line="252" w:lineRule="auto"/>
        <w:ind w:firstLine="567"/>
      </w:pPr>
      <w:r>
        <w:rPr>
          <w:rFonts w:ascii="Times New Roman" w:hAnsi="Times New Roman" w:eastAsia="Times New Roman"/>
          <w:sz w:val="24"/>
        </w:rPr>
        <w:t>Физическое лицо Лебедева Мария Ильинична, выступающее Залогодателем, удостоверило личность паспортом 4018 734219, выданным ГУ МВД России по г. Санкт-Петербургу и Ленинградской области, код подразделения 780-314. Дополнительно указаны ИНН физического лица 780512345612 и СНИЛС 184-762-913 45. В подписном блоке и переписке то же лицо может обозначаться как Лебедева М.И..</w:t>
      </w:r>
    </w:p>
    <w:p>
      <w:pPr>
        <w:spacing w:after="60" w:line="252" w:lineRule="auto"/>
        <w:ind w:firstLine="567"/>
      </w:pPr>
      <w:r>
        <w:rPr>
          <w:rFonts w:ascii="Times New Roman" w:hAnsi="Times New Roman" w:eastAsia="Times New Roman"/>
          <w:sz w:val="24"/>
        </w:rPr>
        <w:t>Представитель Общество с ограниченной ответственностью «Гранит-Финанс» — Карпов Денис Андреевич, действующий на основании доверенности № ГФ-42/26. Продавцом по связанному договору выступает Морозов Алексей Романович, а Покупателем — Общество с ограниченной ответственностью «Специализированный застройщик «Лазурный Контур».</w:t>
      </w:r>
    </w:p>
    <w:p>
      <w:pPr>
        <w:spacing w:before="120" w:after="80"/>
        <w:jc w:val="left"/>
      </w:pPr>
      <w:r>
        <w:rPr>
          <w:rFonts w:ascii="Times New Roman" w:hAnsi="Times New Roman" w:eastAsia="Times New Roman"/>
          <w:b/>
          <w:sz w:val="24"/>
        </w:rPr>
        <w:t>3. Банковские реквизиты и служебные идентификаторы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3419"/>
        <w:gridCol w:w="3419"/>
        <w:gridCol w:w="3419"/>
      </w:tblGrid>
      <w:tr>
        <w:tc>
          <w:tcPr>
            <w:tcW w:type="dxa" w:w="3419"/>
            <w:vAlign w:val="center"/>
            <w:shd w:fill="D9EAF7"/>
          </w:tcPr>
          <w:p>
            <w:pPr>
              <w:spacing w:after="40" w:line="240" w:lineRule="auto"/>
            </w:pPr>
            <w:r>
              <w:rPr>
                <w:rFonts w:ascii="Times New Roman" w:hAnsi="Times New Roman" w:eastAsia="Times New Roman"/>
                <w:sz w:val="24"/>
              </w:rPr>
            </w:r>
            <w:r>
              <w:rPr>
                <w:rFonts w:ascii="Times New Roman" w:hAnsi="Times New Roman" w:eastAsia="Times New Roman"/>
                <w:b/>
                <w:sz w:val="24"/>
              </w:rPr>
              <w:t>Сторона</w:t>
            </w:r>
          </w:p>
        </w:tc>
        <w:tc>
          <w:tcPr>
            <w:tcW w:type="dxa" w:w="3419"/>
            <w:vAlign w:val="center"/>
            <w:shd w:fill="D9EAF7"/>
          </w:tcPr>
          <w:p>
            <w:pPr>
              <w:spacing w:after="40" w:line="240" w:lineRule="auto"/>
            </w:pPr>
            <w:r>
              <w:rPr>
                <w:rFonts w:ascii="Times New Roman" w:hAnsi="Times New Roman" w:eastAsia="Times New Roman"/>
                <w:sz w:val="24"/>
              </w:rPr>
            </w:r>
            <w:r>
              <w:rPr>
                <w:rFonts w:ascii="Times New Roman" w:hAnsi="Times New Roman" w:eastAsia="Times New Roman"/>
                <w:b/>
                <w:sz w:val="24"/>
              </w:rPr>
              <w:t>Реквизит</w:t>
            </w:r>
          </w:p>
        </w:tc>
        <w:tc>
          <w:tcPr>
            <w:tcW w:type="dxa" w:w="3419"/>
            <w:vAlign w:val="center"/>
            <w:shd w:fill="D9EAF7"/>
          </w:tcPr>
          <w:p>
            <w:pPr>
              <w:spacing w:after="40" w:line="240" w:lineRule="auto"/>
            </w:pPr>
            <w:r>
              <w:rPr>
                <w:rFonts w:ascii="Times New Roman" w:hAnsi="Times New Roman" w:eastAsia="Times New Roman"/>
                <w:sz w:val="24"/>
              </w:rPr>
            </w:r>
            <w:r>
              <w:rPr>
                <w:rFonts w:ascii="Times New Roman" w:hAnsi="Times New Roman" w:eastAsia="Times New Roman"/>
                <w:b/>
                <w:sz w:val="24"/>
              </w:rPr>
              <w:t>Значение</w:t>
            </w:r>
          </w:p>
        </w:tc>
      </w:tr>
      <w:tr>
        <w:tc>
          <w:tcPr>
            <w:tcW w:type="dxa" w:w="3419"/>
            <w:vAlign w:val="center"/>
          </w:tcPr>
          <w:p>
            <w:pPr>
              <w:spacing w:after="40" w:line="240" w:lineRule="auto"/>
            </w:pPr>
            <w:r>
              <w:rPr>
                <w:rFonts w:ascii="Times New Roman" w:hAnsi="Times New Roman" w:eastAsia="Times New Roman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Заемщик</w:t>
            </w:r>
          </w:p>
        </w:tc>
        <w:tc>
          <w:tcPr>
            <w:tcW w:type="dxa" w:w="3419"/>
            <w:vAlign w:val="center"/>
          </w:tcPr>
          <w:p>
            <w:pPr>
              <w:spacing w:after="40" w:line="240" w:lineRule="auto"/>
            </w:pPr>
            <w:r>
              <w:rPr>
                <w:rFonts w:ascii="Times New Roman" w:hAnsi="Times New Roman" w:eastAsia="Times New Roman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Расчетный счет</w:t>
            </w:r>
          </w:p>
        </w:tc>
        <w:tc>
          <w:tcPr>
            <w:tcW w:type="dxa" w:w="3419"/>
            <w:vAlign w:val="center"/>
          </w:tcPr>
          <w:p>
            <w:pPr>
              <w:spacing w:after="40" w:line="240" w:lineRule="auto"/>
            </w:pPr>
            <w:r>
              <w:rPr>
                <w:rFonts w:ascii="Times New Roman" w:hAnsi="Times New Roman" w:eastAsia="Times New Roman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40702810938000001234</w:t>
            </w:r>
          </w:p>
        </w:tc>
      </w:tr>
      <w:tr>
        <w:tc>
          <w:tcPr>
            <w:tcW w:type="dxa" w:w="3419"/>
            <w:vAlign w:val="center"/>
          </w:tcPr>
          <w:p>
            <w:pPr>
              <w:spacing w:after="40" w:line="240" w:lineRule="auto"/>
            </w:pPr>
            <w:r>
              <w:rPr>
                <w:rFonts w:ascii="Times New Roman" w:hAnsi="Times New Roman" w:eastAsia="Times New Roman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Заемщик</w:t>
            </w:r>
          </w:p>
        </w:tc>
        <w:tc>
          <w:tcPr>
            <w:tcW w:type="dxa" w:w="3419"/>
            <w:vAlign w:val="center"/>
          </w:tcPr>
          <w:p>
            <w:pPr>
              <w:spacing w:after="40" w:line="240" w:lineRule="auto"/>
            </w:pPr>
            <w:r>
              <w:rPr>
                <w:rFonts w:ascii="Times New Roman" w:hAnsi="Times New Roman" w:eastAsia="Times New Roman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Счет покрытия</w:t>
            </w:r>
          </w:p>
        </w:tc>
        <w:tc>
          <w:tcPr>
            <w:tcW w:type="dxa" w:w="3419"/>
            <w:vAlign w:val="center"/>
          </w:tcPr>
          <w:p>
            <w:pPr>
              <w:spacing w:after="40" w:line="240" w:lineRule="auto"/>
            </w:pPr>
            <w:r>
              <w:rPr>
                <w:rFonts w:ascii="Times New Roman" w:hAnsi="Times New Roman" w:eastAsia="Times New Roman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40821810138000005678</w:t>
            </w:r>
          </w:p>
        </w:tc>
      </w:tr>
      <w:tr>
        <w:tc>
          <w:tcPr>
            <w:tcW w:type="dxa" w:w="3419"/>
            <w:vAlign w:val="center"/>
          </w:tcPr>
          <w:p>
            <w:pPr>
              <w:spacing w:after="40" w:line="240" w:lineRule="auto"/>
            </w:pPr>
            <w:r>
              <w:rPr>
                <w:rFonts w:ascii="Times New Roman" w:hAnsi="Times New Roman" w:eastAsia="Times New Roman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Заемщик</w:t>
            </w:r>
          </w:p>
        </w:tc>
        <w:tc>
          <w:tcPr>
            <w:tcW w:type="dxa" w:w="3419"/>
            <w:vAlign w:val="center"/>
          </w:tcPr>
          <w:p>
            <w:pPr>
              <w:spacing w:after="40" w:line="240" w:lineRule="auto"/>
            </w:pPr>
            <w:r>
              <w:rPr>
                <w:rFonts w:ascii="Times New Roman" w:hAnsi="Times New Roman" w:eastAsia="Times New Roman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Счет эскроу</w:t>
            </w:r>
          </w:p>
        </w:tc>
        <w:tc>
          <w:tcPr>
            <w:tcW w:type="dxa" w:w="3419"/>
            <w:vAlign w:val="center"/>
          </w:tcPr>
          <w:p>
            <w:pPr>
              <w:spacing w:after="40" w:line="240" w:lineRule="auto"/>
            </w:pPr>
            <w:r>
              <w:rPr>
                <w:rFonts w:ascii="Times New Roman" w:hAnsi="Times New Roman" w:eastAsia="Times New Roman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40702810238000007890</w:t>
            </w:r>
          </w:p>
        </w:tc>
      </w:tr>
      <w:tr>
        <w:tc>
          <w:tcPr>
            <w:tcW w:type="dxa" w:w="3419"/>
            <w:vAlign w:val="center"/>
          </w:tcPr>
          <w:p>
            <w:pPr>
              <w:spacing w:after="40" w:line="240" w:lineRule="auto"/>
            </w:pPr>
            <w:r>
              <w:rPr>
                <w:rFonts w:ascii="Times New Roman" w:hAnsi="Times New Roman" w:eastAsia="Times New Roman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Кредитор</w:t>
            </w:r>
          </w:p>
        </w:tc>
        <w:tc>
          <w:tcPr>
            <w:tcW w:type="dxa" w:w="3419"/>
            <w:vAlign w:val="center"/>
          </w:tcPr>
          <w:p>
            <w:pPr>
              <w:spacing w:after="40" w:line="240" w:lineRule="auto"/>
            </w:pPr>
            <w:r>
              <w:rPr>
                <w:rFonts w:ascii="Times New Roman" w:hAnsi="Times New Roman" w:eastAsia="Times New Roman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Корреспондентский счет</w:t>
            </w:r>
          </w:p>
        </w:tc>
        <w:tc>
          <w:tcPr>
            <w:tcW w:type="dxa" w:w="3419"/>
            <w:vAlign w:val="center"/>
          </w:tcPr>
          <w:p>
            <w:pPr>
              <w:spacing w:after="40" w:line="240" w:lineRule="auto"/>
            </w:pPr>
            <w:r>
              <w:rPr>
                <w:rFonts w:ascii="Times New Roman" w:hAnsi="Times New Roman" w:eastAsia="Times New Roman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30101810500000000987</w:t>
            </w:r>
          </w:p>
        </w:tc>
      </w:tr>
      <w:tr>
        <w:tc>
          <w:tcPr>
            <w:tcW w:type="dxa" w:w="3419"/>
            <w:vAlign w:val="center"/>
          </w:tcPr>
          <w:p>
            <w:pPr>
              <w:spacing w:after="40" w:line="240" w:lineRule="auto"/>
            </w:pPr>
            <w:r>
              <w:rPr>
                <w:rFonts w:ascii="Times New Roman" w:hAnsi="Times New Roman" w:eastAsia="Times New Roman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Кредитор</w:t>
            </w:r>
          </w:p>
        </w:tc>
        <w:tc>
          <w:tcPr>
            <w:tcW w:type="dxa" w:w="3419"/>
            <w:vAlign w:val="center"/>
          </w:tcPr>
          <w:p>
            <w:pPr>
              <w:spacing w:after="40" w:line="240" w:lineRule="auto"/>
            </w:pPr>
            <w:r>
              <w:rPr>
                <w:rFonts w:ascii="Times New Roman" w:hAnsi="Times New Roman" w:eastAsia="Times New Roman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БИК</w:t>
            </w:r>
          </w:p>
        </w:tc>
        <w:tc>
          <w:tcPr>
            <w:tcW w:type="dxa" w:w="3419"/>
            <w:vAlign w:val="center"/>
          </w:tcPr>
          <w:p>
            <w:pPr>
              <w:spacing w:after="40" w:line="240" w:lineRule="auto"/>
            </w:pPr>
            <w:r>
              <w:rPr>
                <w:rFonts w:ascii="Times New Roman" w:hAnsi="Times New Roman" w:eastAsia="Times New Roman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044030987</w:t>
            </w:r>
          </w:p>
        </w:tc>
      </w:tr>
      <w:tr>
        <w:tc>
          <w:tcPr>
            <w:tcW w:type="dxa" w:w="3419"/>
            <w:vAlign w:val="center"/>
          </w:tcPr>
          <w:p>
            <w:pPr>
              <w:spacing w:after="40" w:line="240" w:lineRule="auto"/>
            </w:pPr>
            <w:r>
              <w:rPr>
                <w:rFonts w:ascii="Times New Roman" w:hAnsi="Times New Roman" w:eastAsia="Times New Roman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Кредитор</w:t>
            </w:r>
          </w:p>
        </w:tc>
        <w:tc>
          <w:tcPr>
            <w:tcW w:type="dxa" w:w="3419"/>
            <w:vAlign w:val="center"/>
          </w:tcPr>
          <w:p>
            <w:pPr>
              <w:spacing w:after="40" w:line="240" w:lineRule="auto"/>
            </w:pPr>
            <w:r>
              <w:rPr>
                <w:rFonts w:ascii="Times New Roman" w:hAnsi="Times New Roman" w:eastAsia="Times New Roman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SWIFT</w:t>
            </w:r>
          </w:p>
        </w:tc>
        <w:tc>
          <w:tcPr>
            <w:tcW w:type="dxa" w:w="3419"/>
            <w:vAlign w:val="center"/>
          </w:tcPr>
          <w:p>
            <w:pPr>
              <w:spacing w:after="40" w:line="240" w:lineRule="auto"/>
            </w:pPr>
            <w:r>
              <w:rPr>
                <w:rFonts w:ascii="Times New Roman" w:hAnsi="Times New Roman" w:eastAsia="Times New Roman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SEORRUMM</w:t>
            </w:r>
          </w:p>
        </w:tc>
      </w:tr>
      <w:tr>
        <w:tc>
          <w:tcPr>
            <w:tcW w:type="dxa" w:w="3419"/>
            <w:vAlign w:val="center"/>
          </w:tcPr>
          <w:p>
            <w:pPr>
              <w:spacing w:after="40" w:line="240" w:lineRule="auto"/>
            </w:pPr>
            <w:r>
              <w:rPr>
                <w:rFonts w:ascii="Times New Roman" w:hAnsi="Times New Roman" w:eastAsia="Times New Roman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Кредитор</w:t>
            </w:r>
          </w:p>
        </w:tc>
        <w:tc>
          <w:tcPr>
            <w:tcW w:type="dxa" w:w="3419"/>
            <w:vAlign w:val="center"/>
          </w:tcPr>
          <w:p>
            <w:pPr>
              <w:spacing w:after="40" w:line="240" w:lineRule="auto"/>
            </w:pPr>
            <w:r>
              <w:rPr>
                <w:rFonts w:ascii="Times New Roman" w:hAnsi="Times New Roman" w:eastAsia="Times New Roman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Ссудный счет</w:t>
            </w:r>
          </w:p>
        </w:tc>
        <w:tc>
          <w:tcPr>
            <w:tcW w:type="dxa" w:w="3419"/>
            <w:vAlign w:val="center"/>
          </w:tcPr>
          <w:p>
            <w:pPr>
              <w:spacing w:after="40" w:line="240" w:lineRule="auto"/>
            </w:pPr>
            <w:r>
              <w:rPr>
                <w:rFonts w:ascii="Times New Roman" w:hAnsi="Times New Roman" w:eastAsia="Times New Roman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45506810638000001235</w:t>
            </w:r>
          </w:p>
        </w:tc>
      </w:tr>
      <w:tr>
        <w:tc>
          <w:tcPr>
            <w:tcW w:type="dxa" w:w="3419"/>
            <w:vAlign w:val="center"/>
          </w:tcPr>
          <w:p>
            <w:pPr>
              <w:spacing w:after="40" w:line="240" w:lineRule="auto"/>
            </w:pPr>
            <w:r>
              <w:rPr>
                <w:rFonts w:ascii="Times New Roman" w:hAnsi="Times New Roman" w:eastAsia="Times New Roman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Служебные коды</w:t>
            </w:r>
          </w:p>
        </w:tc>
        <w:tc>
          <w:tcPr>
            <w:tcW w:type="dxa" w:w="3419"/>
            <w:vAlign w:val="center"/>
          </w:tcPr>
          <w:p>
            <w:pPr>
              <w:spacing w:after="40" w:line="240" w:lineRule="auto"/>
            </w:pPr>
            <w:r>
              <w:rPr>
                <w:rFonts w:ascii="Times New Roman" w:hAnsi="Times New Roman" w:eastAsia="Times New Roman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Код клиента / ID / код договора</w:t>
            </w:r>
          </w:p>
        </w:tc>
        <w:tc>
          <w:tcPr>
            <w:tcW w:type="dxa" w:w="3419"/>
            <w:vAlign w:val="center"/>
          </w:tcPr>
          <w:p>
            <w:pPr>
              <w:spacing w:after="40" w:line="240" w:lineRule="auto"/>
            </w:pPr>
            <w:r>
              <w:rPr>
                <w:rFonts w:ascii="Times New Roman" w:hAnsi="Times New Roman" w:eastAsia="Times New Roman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КЛ-584731/7 / LC-584731 / ДК-ЛК-77-2603</w:t>
            </w:r>
          </w:p>
        </w:tc>
      </w:tr>
    </w:tbl>
    <w:p>
      <w:pPr>
        <w:spacing w:after="60" w:line="252" w:lineRule="auto"/>
        <w:ind w:firstLine="567"/>
      </w:pPr>
      <w:r>
        <w:rPr>
          <w:rFonts w:ascii="Times New Roman" w:hAnsi="Times New Roman" w:eastAsia="Times New Roman"/>
          <w:sz w:val="24"/>
        </w:rPr>
        <w:t>Отдельный банковский счет 40702810338000004321 используется только для расчетов по проекту жилой комплекс «Лазурная Верфь». Любые платежи по настоящему договору должны содержать назначение платежа с указанием договора № КД-24/1187-ЛК и внутреннего идентификатора операции OP-LK-2026-0315.</w:t>
      </w:r>
    </w:p>
    <w:p>
      <w:pPr>
        <w:spacing w:before="120" w:after="80"/>
        <w:jc w:val="left"/>
      </w:pPr>
      <w:r>
        <w:rPr>
          <w:rFonts w:ascii="Times New Roman" w:hAnsi="Times New Roman" w:eastAsia="Times New Roman"/>
          <w:b/>
          <w:sz w:val="24"/>
        </w:rPr>
        <w:t>4. Адреса и контактные данные</w:t>
      </w:r>
    </w:p>
    <w:p>
      <w:pPr>
        <w:spacing w:after="60" w:line="252" w:lineRule="auto"/>
        <w:ind w:firstLine="567"/>
      </w:pPr>
      <w:r>
        <w:rPr>
          <w:rFonts w:ascii="Times New Roman" w:hAnsi="Times New Roman" w:eastAsia="Times New Roman"/>
          <w:sz w:val="24"/>
        </w:rPr>
        <w:t>Место нахождения Заемщика: 197110, г. Санкт-Петербург, ул. Лоцманская, д. 12, офис 405. Почтовый адрес Заемщика: 197110, г. Санкт-Петербург, а/я 1187. Адрес регистрации Карпов Денис Андреевич: г. Санкт-Петербург, ул. Морская, д. 9, кв. 42. Адрес объекта недвижимости: г. Санкт-Петербург, пр-кт Архитекторов, д. 27, корп. 2.</w:t>
      </w:r>
    </w:p>
    <w:p>
      <w:pPr>
        <w:spacing w:after="60" w:line="252" w:lineRule="auto"/>
        <w:ind w:firstLine="567"/>
      </w:pPr>
      <w:r>
        <w:rPr>
          <w:rFonts w:ascii="Times New Roman" w:hAnsi="Times New Roman" w:eastAsia="Times New Roman"/>
          <w:sz w:val="24"/>
        </w:rPr>
        <w:t>Для направления уведомлений используются следующие контакты: телефон +7 (812) 456-70-90, факс 8 812 456 70 91, адрес электронной почты office@lazurny-kontur.test, сайт lazurny-kontur.test, URL личного кабинета https://cabinet.lazurny-kontur.test/agreement. Сообщение, направленное на office@lazurny-kontur.test, считается полученным при наличии технического подтверждения отправки.</w:t>
      </w:r>
    </w:p>
    <w:p>
      <w:pPr>
        <w:spacing w:before="120" w:after="80"/>
        <w:jc w:val="left"/>
      </w:pPr>
      <w:r>
        <w:rPr>
          <w:rFonts w:ascii="Times New Roman" w:hAnsi="Times New Roman" w:eastAsia="Times New Roman"/>
          <w:b/>
          <w:sz w:val="24"/>
        </w:rPr>
        <w:t>5. Обеспечение обязательств</w:t>
      </w:r>
    </w:p>
    <w:p>
      <w:pPr>
        <w:spacing w:after="60" w:line="252" w:lineRule="auto"/>
        <w:ind w:firstLine="567"/>
      </w:pPr>
      <w:r>
        <w:rPr>
          <w:rFonts w:ascii="Times New Roman" w:hAnsi="Times New Roman" w:eastAsia="Times New Roman"/>
          <w:sz w:val="24"/>
        </w:rPr>
        <w:t>Исполнение обязательств Заемщика обеспечивается договором поручительства № ПР-77/1187-26, договором залога долей № ЗД-77/1187-КГ, соглашением о новации № НОВ-77/1187-1, дополнительным соглашением № ДС-1187/2-ЛК и заявлением на открытие аккредитива № АКК-1187/ЛК-26.</w:t>
      </w:r>
    </w:p>
    <w:p>
      <w:pPr>
        <w:spacing w:after="60" w:line="252" w:lineRule="auto"/>
        <w:ind w:firstLine="567"/>
      </w:pPr>
      <w:r>
        <w:rPr>
          <w:rFonts w:ascii="Times New Roman" w:hAnsi="Times New Roman" w:eastAsia="Times New Roman"/>
          <w:sz w:val="24"/>
        </w:rPr>
        <w:t>Общество с ограниченной ответственностью «Полярный Резерв» поручается перед Публичное акционерное общество «Банк Северная Орбита» за исполнение обязательств Общество с ограниченной ответственностью «Специализированный застройщик «Лазурный Контур». Лебедева Мария Ильинична передает имущество в залог, а Акционерное общество «Квант Групп» вносит вклад в уставный капитал Общество с ограниченной ответственностью «Меридиан Актив». Общество с ограниченной ответственностью «Специализированный застройщик «Лазурный Контур» выдает заем Общество с ограниченной ответственностью «Меридиан Актив», а Общество с ограниченной ответственностью «Меридиан Актив» погашает задолженность перед Публичное акционерное общество «Банк Северная Орбита».</w:t>
      </w:r>
    </w:p>
    <w:p>
      <w:pPr>
        <w:spacing w:after="60" w:line="252" w:lineRule="auto"/>
        <w:ind w:firstLine="567"/>
      </w:pPr>
      <w:r>
        <w:rPr>
          <w:rFonts w:ascii="Times New Roman" w:hAnsi="Times New Roman" w:eastAsia="Times New Roman"/>
          <w:sz w:val="24"/>
        </w:rPr>
        <w:t>Карпов Денис Андреевич действует от имени Общество с ограниченной ответственностью «Гранит-Финанс» и подписывает документы, связанные с проектом жилой комплекс «Лазурная Верфь». В тексте договора роли «Кредитор», «Заемщик», «Поручитель», «Залогодатель», «Продавец», «Покупатель», «Банк-эмитент» и «исполняющий банк» сохраняются без замены, если они не содержат конкретного участника.</w:t>
      </w:r>
    </w:p>
    <w:p>
      <w:pPr>
        <w:spacing w:before="120" w:after="80"/>
        <w:jc w:val="left"/>
      </w:pPr>
      <w:r>
        <w:rPr>
          <w:rFonts w:ascii="Times New Roman" w:hAnsi="Times New Roman" w:eastAsia="Times New Roman"/>
          <w:b/>
          <w:sz w:val="24"/>
        </w:rPr>
        <w:t>6. Порядок обмена документами</w:t>
      </w:r>
    </w:p>
    <w:p>
      <w:pPr>
        <w:spacing w:after="40" w:line="252" w:lineRule="auto"/>
        <w:ind w:left="454" w:hanging="198"/>
      </w:pPr>
      <w:r>
        <w:rPr>
          <w:rFonts w:ascii="Times New Roman" w:hAnsi="Times New Roman" w:eastAsia="Times New Roman"/>
          <w:sz w:val="24"/>
        </w:rPr>
        <w:t>6.1. Стороны признают юридическую силу документов, подписанных уполномоченными лицами: Орлов П.С., Белова Е.В., Карпов Д.А., Лебедева М.И. и Морозов А.Р..</w:t>
      </w:r>
    </w:p>
    <w:p>
      <w:pPr>
        <w:spacing w:after="40" w:line="252" w:lineRule="auto"/>
        <w:ind w:left="454" w:hanging="198"/>
      </w:pPr>
      <w:r>
        <w:rPr>
          <w:rFonts w:ascii="Times New Roman" w:hAnsi="Times New Roman" w:eastAsia="Times New Roman"/>
          <w:sz w:val="24"/>
        </w:rPr>
        <w:t>6.2. В случае расхождения между полным и сокращенным наименованием участника применяется стабильная идентификация: Общество с ограниченной ответственностью «Специализированный застройщик «Лазурный Контур» = ООО «Лазурный Контур», Публичное акционерное общество «Банк Северная Орбита» = ПАО «Банк Северная Орбита».</w:t>
      </w:r>
    </w:p>
    <w:p>
      <w:pPr>
        <w:spacing w:after="40" w:line="252" w:lineRule="auto"/>
        <w:ind w:left="454" w:hanging="198"/>
      </w:pPr>
      <w:r>
        <w:rPr>
          <w:rFonts w:ascii="Times New Roman" w:hAnsi="Times New Roman" w:eastAsia="Times New Roman"/>
          <w:sz w:val="24"/>
        </w:rPr>
        <w:t>6.3. Номера документов могут указываться в формах N 1187-ЛК/26, № ПРОТ-45/26, No LC-MOCK-1187 и N° ORB-77-2603; такие варианты считаются ссылками на документные идентификаторы.</w:t>
      </w:r>
    </w:p>
    <w:p>
      <w:pPr>
        <w:spacing w:after="40" w:line="252" w:lineRule="auto"/>
        <w:ind w:left="454" w:hanging="198"/>
      </w:pPr>
      <w:r>
        <w:rPr>
          <w:rFonts w:ascii="Times New Roman" w:hAnsi="Times New Roman" w:eastAsia="Times New Roman"/>
          <w:sz w:val="24"/>
        </w:rPr>
        <w:t>6.4. Если реквизит указан с пробелами или разделителями, например И Н Н 7 8 1 2 3 4 5 6 7 0, О Г Р Н 1 2 6 7 8 0 0 0 0 1 1 8 7, КПП 781-201-001, он относится к той же категории формальных идентификаторов.</w:t>
      </w:r>
    </w:p>
    <w:p>
      <w:pPr>
        <w:spacing w:before="120" w:after="80"/>
        <w:jc w:val="left"/>
      </w:pPr>
      <w:r>
        <w:rPr>
          <w:rFonts w:ascii="Times New Roman" w:hAnsi="Times New Roman" w:eastAsia="Times New Roman"/>
          <w:b/>
          <w:sz w:val="24"/>
        </w:rPr>
        <w:t>7. Тестовый абзац с неоднородным написанием</w:t>
      </w:r>
    </w:p>
    <w:p>
      <w:pPr>
        <w:spacing w:after="60" w:line="252" w:lineRule="auto"/>
        <w:ind w:firstLine="567"/>
      </w:pPr>
      <w:r>
        <w:rPr>
          <w:rFonts w:ascii="Times New Roman" w:hAnsi="Times New Roman" w:eastAsia="Times New Roman"/>
          <w:sz w:val="24"/>
        </w:rPr>
        <w:t>В одном и том же разделе могут встретиться варианты OOO «Лaзурный-Контур», ПAО Бaнк Северная Oрбита, AО «Квaнт Групп», Лeбедeвa Мaрия Ильинична, Лeбедева М.И., а также контактная строка вида office @ lazurny-kontur . test, 8 812 456 70 90 и счет 40702 810 9 3800 0001234. Эти значения должны рассматриваться как контрольные значения соответствующих сущностей, а не как реальные сведения.</w:t>
      </w:r>
    </w:p>
    <w:p>
      <w:pPr>
        <w:spacing w:after="60" w:line="252" w:lineRule="auto"/>
        <w:ind w:firstLine="567"/>
      </w:pPr>
      <w:r>
        <w:rPr>
          <w:rFonts w:ascii="Times New Roman" w:hAnsi="Times New Roman" w:eastAsia="Times New Roman"/>
          <w:sz w:val="24"/>
        </w:rPr>
        <w:t>Ссылка на объект может быть записана как кадастр. № 77:05:0008123:4512, запись регистрации 77:05:0008123:4512-77/052/2026-3 или объект по адресу г. Санкт-Петербург, пр-кт Архитекторов, д. 27, корп. 2. При этом слова «объект», «дом», «помещения», «паркинг» и «земельный участок» не подлежат самостоятельной замене.</w:t>
      </w:r>
    </w:p>
    <w:p>
      <w:pPr>
        <w:spacing w:before="120" w:after="80"/>
        <w:jc w:val="left"/>
      </w:pPr>
      <w:r>
        <w:rPr>
          <w:rFonts w:ascii="Times New Roman" w:hAnsi="Times New Roman" w:eastAsia="Times New Roman"/>
          <w:b/>
          <w:sz w:val="24"/>
        </w:rPr>
        <w:t>8. Реквизиты сторон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5128"/>
        <w:gridCol w:w="5128"/>
      </w:tblGrid>
      <w:tr>
        <w:tc>
          <w:tcPr>
            <w:tcW w:type="dxa" w:w="5128"/>
            <w:vAlign w:val="center"/>
            <w:shd w:fill="E2F0D9"/>
          </w:tcPr>
          <w:p>
            <w:pPr>
              <w:spacing w:after="40" w:line="240" w:lineRule="auto"/>
            </w:pPr>
            <w:r>
              <w:rPr>
                <w:rFonts w:ascii="Times New Roman" w:hAnsi="Times New Roman" w:eastAsia="Times New Roman"/>
                <w:sz w:val="24"/>
              </w:rPr>
            </w:r>
            <w:r>
              <w:rPr>
                <w:rFonts w:ascii="Times New Roman" w:hAnsi="Times New Roman" w:eastAsia="Times New Roman"/>
                <w:b/>
                <w:sz w:val="24"/>
              </w:rPr>
              <w:t>Кредитор</w:t>
            </w:r>
          </w:p>
        </w:tc>
        <w:tc>
          <w:tcPr>
            <w:tcW w:type="dxa" w:w="5128"/>
            <w:vAlign w:val="center"/>
            <w:shd w:fill="E2F0D9"/>
          </w:tcPr>
          <w:p>
            <w:pPr>
              <w:spacing w:after="40" w:line="240" w:lineRule="auto"/>
            </w:pPr>
            <w:r>
              <w:rPr>
                <w:rFonts w:ascii="Times New Roman" w:hAnsi="Times New Roman" w:eastAsia="Times New Roman"/>
                <w:sz w:val="24"/>
              </w:rPr>
            </w:r>
            <w:r>
              <w:rPr>
                <w:rFonts w:ascii="Times New Roman" w:hAnsi="Times New Roman" w:eastAsia="Times New Roman"/>
                <w:b/>
                <w:sz w:val="24"/>
              </w:rPr>
              <w:t>Заемщик</w:t>
            </w:r>
          </w:p>
        </w:tc>
      </w:tr>
      <w:tr>
        <w:tc>
          <w:tcPr>
            <w:tcW w:type="dxa" w:w="5128"/>
            <w:vAlign w:val="center"/>
          </w:tcPr>
          <w:p>
            <w:pPr>
              <w:spacing w:after="40" w:line="240" w:lineRule="auto"/>
            </w:pPr>
            <w:r>
              <w:rPr>
                <w:rFonts w:ascii="Times New Roman" w:hAnsi="Times New Roman" w:eastAsia="Times New Roman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Публичное акционерное общество «Банк Северная Орбита»</w:t>
              <w:br/>
              <w:t>ИНН 7834567891, ОГРН 1027800009876</w:t>
              <w:br/>
              <w:t>к/с 30101810500000000987, БИК 044030987</w:t>
              <w:br/>
              <w:t>Адрес: 197342, г. Санкт-Петербург, наб. Испытателей, д. 18, лит. А</w:t>
              <w:br/>
              <w:t>Тел.: +7 (812) 222-18-77</w:t>
              <w:br/>
              <w:t>E-mail: bank.office@severnaya-orbita.test</w:t>
            </w:r>
          </w:p>
        </w:tc>
        <w:tc>
          <w:tcPr>
            <w:tcW w:type="dxa" w:w="5128"/>
            <w:vAlign w:val="center"/>
          </w:tcPr>
          <w:p>
            <w:pPr>
              <w:spacing w:after="40" w:line="240" w:lineRule="auto"/>
            </w:pPr>
            <w:r>
              <w:rPr>
                <w:rFonts w:ascii="Times New Roman" w:hAnsi="Times New Roman" w:eastAsia="Times New Roman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Общество с ограниченной ответственностью «Специализированный застройщик «Лазурный Контур»</w:t>
              <w:br/>
              <w:t>ИНН 7812345670, КПП 781201001, ОГРН 1267800001187</w:t>
              <w:br/>
              <w:t>р/с 40702810938000001234</w:t>
              <w:br/>
              <w:t>Адрес: 197110, г. Санкт-Петербург, ул. Лоцманская, д. 12, офис 405</w:t>
              <w:br/>
              <w:t>Сайт: lazurny-kontur.test</w:t>
            </w:r>
          </w:p>
        </w:tc>
      </w:tr>
    </w:tbl>
    <w:p>
      <w:pPr>
        <w:spacing w:before="120" w:after="80"/>
        <w:jc w:val="left"/>
      </w:pPr>
      <w:r>
        <w:rPr>
          <w:rFonts w:ascii="Times New Roman" w:hAnsi="Times New Roman" w:eastAsia="Times New Roman"/>
          <w:b/>
          <w:sz w:val="24"/>
        </w:rPr>
        <w:t>9. Подписи сторон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5128"/>
        <w:gridCol w:w="5128"/>
      </w:tblGrid>
      <w:tr>
        <w:tc>
          <w:tcPr>
            <w:tcW w:type="dxa" w:w="5128"/>
            <w:vAlign w:val="center"/>
            <w:shd w:fill="FCE4D6"/>
          </w:tcPr>
          <w:p>
            <w:pPr>
              <w:spacing w:after="40" w:line="240" w:lineRule="auto"/>
            </w:pPr>
            <w:r>
              <w:rPr>
                <w:rFonts w:ascii="Times New Roman" w:hAnsi="Times New Roman" w:eastAsia="Times New Roman"/>
                <w:sz w:val="24"/>
              </w:rPr>
            </w:r>
            <w:r>
              <w:rPr>
                <w:rFonts w:ascii="Times New Roman" w:hAnsi="Times New Roman" w:eastAsia="Times New Roman"/>
                <w:b/>
                <w:sz w:val="24"/>
              </w:rPr>
              <w:t>От Кредитора</w:t>
            </w:r>
          </w:p>
        </w:tc>
        <w:tc>
          <w:tcPr>
            <w:tcW w:type="dxa" w:w="5128"/>
            <w:vAlign w:val="center"/>
            <w:shd w:fill="FCE4D6"/>
          </w:tcPr>
          <w:p>
            <w:pPr>
              <w:spacing w:after="40" w:line="240" w:lineRule="auto"/>
            </w:pPr>
            <w:r>
              <w:rPr>
                <w:rFonts w:ascii="Times New Roman" w:hAnsi="Times New Roman" w:eastAsia="Times New Roman"/>
                <w:sz w:val="24"/>
              </w:rPr>
            </w:r>
            <w:r>
              <w:rPr>
                <w:rFonts w:ascii="Times New Roman" w:hAnsi="Times New Roman" w:eastAsia="Times New Roman"/>
                <w:b/>
                <w:sz w:val="24"/>
              </w:rPr>
              <w:t>От Заемщика</w:t>
            </w:r>
          </w:p>
        </w:tc>
      </w:tr>
      <w:tr>
        <w:tc>
          <w:tcPr>
            <w:tcW w:type="dxa" w:w="5128"/>
            <w:vAlign w:val="center"/>
          </w:tcPr>
          <w:p>
            <w:pPr>
              <w:spacing w:after="40" w:line="240" w:lineRule="auto"/>
            </w:pPr>
            <w:r>
              <w:rPr>
                <w:rFonts w:ascii="Times New Roman" w:hAnsi="Times New Roman" w:eastAsia="Times New Roman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заместителя председателя правления</w:t>
              <w:br/>
              <w:t>Орлов П.С.</w:t>
              <w:br/>
              <w:t>подпись Орлова П.С.</w:t>
              <w:br/>
              <w:t>М.П. оттиск печати кредитора</w:t>
            </w:r>
          </w:p>
        </w:tc>
        <w:tc>
          <w:tcPr>
            <w:tcW w:type="dxa" w:w="5128"/>
            <w:vAlign w:val="center"/>
          </w:tcPr>
          <w:p>
            <w:pPr>
              <w:spacing w:after="40" w:line="240" w:lineRule="auto"/>
            </w:pPr>
            <w:r>
              <w:rPr>
                <w:rFonts w:ascii="Times New Roman" w:hAnsi="Times New Roman" w:eastAsia="Times New Roman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генерального директора</w:t>
              <w:br/>
              <w:t>Белова Е.В.</w:t>
              <w:br/>
              <w:t>подпись Беловой Е.В.</w:t>
              <w:br/>
              <w:t>М.П. оттиск печати заемщика</w:t>
            </w:r>
          </w:p>
        </w:tc>
      </w:tr>
      <w:tr>
        <w:tc>
          <w:tcPr>
            <w:tcW w:type="dxa" w:w="5128"/>
            <w:vAlign w:val="center"/>
          </w:tcPr>
          <w:p>
            <w:pPr>
              <w:spacing w:after="40" w:line="240" w:lineRule="auto"/>
            </w:pPr>
            <w:r>
              <w:rPr>
                <w:rFonts w:ascii="Times New Roman" w:hAnsi="Times New Roman" w:eastAsia="Times New Roman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Изображение подписи: графический блок подписи S-ORL-01</w:t>
            </w:r>
          </w:p>
        </w:tc>
        <w:tc>
          <w:tcPr>
            <w:tcW w:type="dxa" w:w="5128"/>
            <w:vAlign w:val="center"/>
          </w:tcPr>
          <w:p>
            <w:pPr>
              <w:spacing w:after="40" w:line="240" w:lineRule="auto"/>
            </w:pPr>
            <w:r>
              <w:rPr>
                <w:rFonts w:ascii="Times New Roman" w:hAnsi="Times New Roman" w:eastAsia="Times New Roman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Изображение печати: графический блок печати ST-LK-02</w:t>
            </w:r>
          </w:p>
        </w:tc>
      </w:tr>
    </w:tbl>
    <w:p>
      <w:pPr>
        <w:spacing w:after="60" w:line="252" w:lineRule="auto"/>
        <w:ind w:firstLine="567"/>
      </w:pPr>
      <w:r>
        <w:rPr>
          <w:rFonts w:ascii="Times New Roman" w:hAnsi="Times New Roman" w:eastAsia="Times New Roman"/>
          <w:sz w:val="24"/>
        </w:rPr>
        <w:t>Настоящий документ является синтетическим тестовым примером. Все значения, которые должны проверяться алгоритмом обезличивания, включены только для контроля качества; даты, родовые юридические термины и стандартные роли сторон не считаются целевыми персональными или реквизитными данными.</w:t>
      </w:r>
    </w:p>
    <w:sectPr>
      <w:headerReference w:type="default" r:id="rId9"/>
      <w:footerReference w:type="default" r:id="rId10"/>
      <w:pgSz w:w="12240" w:h="15840"/>
      <w:pgMar w:top="907" w:right="850" w:bottom="907" w:left="1134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/>
        <w:sz w:val="18"/>
      </w:rPr>
      <w:t>Документ не содержит реальных персональных данных или реквизитов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Times New Roman" w:hAnsi="Times New Roman" w:eastAsia="Times New Roman"/>
        <w:sz w:val="18"/>
      </w:rPr>
      <w:t>Тестовый документ для обезличивания — контрольная версия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2" w:lineRule="auto" w:after="60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Synthetic de-identification fixture</dc:title>
  <dc:subject>Synthetic contract with realistic-looking fictional data</dc:subject>
  <dc:creator>OpenAI</dc:creator>
  <cp:keywords/>
  <dc:description>Synthetic fixture. No real PII. Tokens replaced with fictional values.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