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before="0"/>
        <w:jc w:val="center"/>
      </w:pPr>
      <w:r>
        <w:rPr>
          <w:rFonts w:ascii="Arial" w:cs="Arial" w:eastAsia="Arial" w:hAnsi="Arial"/>
          <w:b/>
          <w:bCs/>
          <w:color w:val="1F5C99"/>
          <w:sz w:val="56"/>
          <w:szCs w:val="56"/>
        </w:rPr>
        <w:t xml:space="preserve">GNN-Based Functional Role Discovery</w:t>
      </w:r>
    </w:p>
    <w:p>
      <w:pPr>
        <w:spacing w:after="200" w:before="0"/>
        <w:jc w:val="center"/>
      </w:pPr>
      <w:r>
        <w:rPr>
          <w:rFonts w:ascii="Arial" w:cs="Arial" w:eastAsia="Arial" w:hAnsi="Arial"/>
          <w:b/>
          <w:bCs/>
          <w:color w:val="E8543A"/>
          <w:sz w:val="40"/>
          <w:szCs w:val="40"/>
        </w:rPr>
        <w:t xml:space="preserve">Across 172 Real-World Pollination Networks</w:t>
      </w:r>
    </w:p>
    <w:p>
      <w:pPr>
        <w:spacing w:after="80" w:before="0"/>
        <w:jc w:val="center"/>
      </w:pPr>
      <w:r>
        <w:rPr>
          <w:rFonts w:ascii="Arial" w:cs="Arial" w:eastAsia="Arial" w:hAnsi="Arial"/>
          <w:color w:val="555555"/>
          <w:sz w:val="26"/>
          <w:szCs w:val="26"/>
        </w:rPr>
        <w:t xml:space="preserve">A Multi-Network Graph Neural Network Study</w:t>
      </w:r>
    </w:p>
    <w:p>
      <w:pPr>
        <w:pBdr>
          <w:bottom w:val="single" w:color="1F5C99" w:sz="4" w:space="1"/>
        </w:pBdr>
        <w:spacing w:after="240" w:before="240"/>
      </w:pPr>
      <w:r>
        <w:t xml:space="preserve"/>
      </w:r>
    </w:p>
    <w:p>
      <w:pPr>
        <w:spacing w:after="60" w:before="60"/>
        <w:jc w:val="center"/>
      </w:pPr>
      <w:r>
        <w:rPr>
          <w:rFonts w:ascii="Arial" w:cs="Arial" w:eastAsia="Arial" w:hAnsi="Arial"/>
          <w:color w:val="555555"/>
          <w:sz w:val="20"/>
          <w:szCs w:val="20"/>
        </w:rPr>
        <w:t xml:space="preserve">Dataset: Web of Life (www.web-of-life.es)  |  172 Plant–Pollinator Bipartite Networks</w:t>
      </w:r>
    </w:p>
    <w:p>
      <w:pPr>
        <w:spacing w:after="60" w:before="60"/>
        <w:jc w:val="center"/>
      </w:pPr>
      <w:r>
        <w:rPr>
          <w:rFonts w:ascii="Arial" w:cs="Arial" w:eastAsia="Arial" w:hAnsi="Arial"/>
          <w:color w:val="555555"/>
          <w:sz w:val="20"/>
          <w:szCs w:val="20"/>
        </w:rPr>
        <w:t xml:space="preserve">Model: GraphSAGE + Link-Prediction Pre-training + k-means Clustering (k=4)</w:t>
      </w:r>
    </w:p>
    <w:p>
      <w:r>
        <w:t xml:space="preserve"/>
      </w:r>
    </w:p>
    <w:p>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Total networks analysed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172 pollination networks</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Total pollinator species</w:t>
            </w:r>
          </w:p>
        </w:tc>
        <w:tc>
          <w:tcPr>
            <w:tcW w:type="dxa" w:w="4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~11,511</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Networks with AUC ≥ 0.85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171 / 172  (99.4%)</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Mean link-prediction AUC</w:t>
            </w:r>
          </w:p>
        </w:tc>
        <w:tc>
          <w:tcPr>
            <w:tcW w:type="dxa" w:w="4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0.960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Mean clustering silhouette (k=4)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0.384</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Roles discovered</w:t>
            </w:r>
          </w:p>
        </w:tc>
        <w:tc>
          <w:tcPr>
            <w:tcW w:type="dxa" w:w="4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Generalist, Specialist, Connector, Keystone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Dominant role (most networks)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(38%)</w:t>
            </w:r>
          </w:p>
        </w:tc>
      </w:tr>
    </w:tbl>
    <w:p>
      <w:r>
        <w:t xml:space="preserve"/>
      </w:r>
    </w:p>
    <w:p>
      <w:r>
        <w:t xml:space="preserve"/>
      </w:r>
    </w:p>
    <w:p>
      <w:r>
        <w:br w:type="page"/>
      </w:r>
    </w:p>
    <w:p>
      <w:pPr>
        <w:pStyle w:val="Heading1"/>
        <w:spacing w:after="120" w:before="360"/>
      </w:pPr>
      <w:r>
        <w:rPr>
          <w:rFonts w:ascii="Arial" w:cs="Arial" w:eastAsia="Arial" w:hAnsi="Arial"/>
          <w:b/>
          <w:bCs/>
          <w:color w:val="1F5C99"/>
          <w:sz w:val="36"/>
          <w:szCs w:val="36"/>
        </w:rPr>
        <w:t xml:space="preserve">1. Introduction</w:t>
      </w:r>
    </w:p>
    <w:p>
      <w:pPr>
        <w:spacing w:after="60" w:before="60"/>
      </w:pPr>
      <w:r>
        <w:rPr>
          <w:rFonts w:ascii="Arial" w:cs="Arial" w:eastAsia="Arial" w:hAnsi="Arial"/>
          <w:b w:val="false"/>
          <w:bCs w:val="false"/>
          <w:color w:val="2F2F2F"/>
          <w:sz w:val="22"/>
          <w:szCs w:val="22"/>
        </w:rPr>
        <w:t xml:space="preserve">Pollination networks represent one of the most critical ecological interactions sustaining biodiversity. Understanding the functional roles that individual pollinator species play within and across networks has long relied on hand-crafted metrics such as degree, betweenness centrality, and nestedness. While informative, these metrics are computed in isolation for each network and do not generalise across ecosystems with varying sizes, species compositions, or interaction structures.</w:t>
      </w:r>
    </w:p>
    <w:p>
      <w:r>
        <w:t xml:space="preserve"/>
      </w:r>
    </w:p>
    <w:p>
      <w:pPr>
        <w:spacing w:after="60" w:before="60"/>
      </w:pPr>
      <w:r>
        <w:rPr>
          <w:rFonts w:ascii="Arial" w:cs="Arial" w:eastAsia="Arial" w:hAnsi="Arial"/>
          <w:b w:val="false"/>
          <w:bCs w:val="false"/>
          <w:color w:val="2F2F2F"/>
          <w:sz w:val="22"/>
          <w:szCs w:val="22"/>
        </w:rPr>
        <w:t xml:space="preserve">This work introduces a Graph Neural Network (GNN) framework that learns latent embeddings directly from interaction graphs, enabling scalable, data-driven discovery of functional pollinator roles across a large multi-network corpus. Specifically, we apply the framework to 172 real plant–pollinator bipartite networks from the Web of Life database — the largest such GNN-based analysis reported to date.</w:t>
      </w:r>
    </w:p>
    <w:p>
      <w:pPr>
        <w:pStyle w:val="Heading1"/>
        <w:spacing w:after="120" w:before="360"/>
      </w:pPr>
      <w:r>
        <w:rPr>
          <w:rFonts w:ascii="Arial" w:cs="Arial" w:eastAsia="Arial" w:hAnsi="Arial"/>
          <w:b/>
          <w:bCs/>
          <w:color w:val="1F5C99"/>
          <w:sz w:val="36"/>
          <w:szCs w:val="36"/>
        </w:rPr>
        <w:t xml:space="preserve">2. What is Novel in This Work</w:t>
      </w:r>
    </w:p>
    <w:p>
      <w:pPr>
        <w:pBdr>
          <w:bottom w:val="single" w:color="1F5C99" w:sz="4" w:space="1"/>
        </w:pBdr>
        <w:spacing w:after="240" w:before="240"/>
      </w:pPr>
      <w:r>
        <w:t xml:space="preserve"/>
      </w:r>
    </w:p>
    <w:p>
      <w:pPr>
        <w:pStyle w:val="Heading2"/>
        <w:spacing w:after="80" w:before="240"/>
      </w:pPr>
      <w:r>
        <w:rPr>
          <w:rFonts w:ascii="Arial" w:cs="Arial" w:eastAsia="Arial" w:hAnsi="Arial"/>
          <w:b/>
          <w:bCs/>
          <w:color w:val="1F5C99"/>
          <w:sz w:val="28"/>
          <w:szCs w:val="28"/>
        </w:rPr>
        <w:t xml:space="preserve">2.1  Scale: Multi-Network Analysis at Corpus Level</w:t>
      </w:r>
    </w:p>
    <w:p>
      <w:pPr>
        <w:spacing w:after="60" w:before="60"/>
      </w:pPr>
      <w:r>
        <w:rPr>
          <w:rFonts w:ascii="Arial" w:cs="Arial" w:eastAsia="Arial" w:hAnsi="Arial"/>
          <w:b w:val="false"/>
          <w:bCs w:val="false"/>
          <w:color w:val="2F2F2F"/>
          <w:sz w:val="22"/>
          <w:szCs w:val="22"/>
        </w:rPr>
        <w:t xml:space="preserve">Previous GNN studies in ecology have focused on a single or handful of networks. This work trains and evaluates independent GNN models on each of the 172 networks and aggregates results to derive corpus-level ecological insights — a genuinely new operational mode for ecological network science.</w:t>
      </w:r>
    </w:p>
    <w:p>
      <w:pPr>
        <w:pStyle w:val="Heading2"/>
        <w:spacing w:after="80" w:before="240"/>
      </w:pPr>
      <w:r>
        <w:rPr>
          <w:rFonts w:ascii="Arial" w:cs="Arial" w:eastAsia="Arial" w:hAnsi="Arial"/>
          <w:b/>
          <w:bCs/>
          <w:color w:val="1F5C99"/>
          <w:sz w:val="28"/>
          <w:szCs w:val="28"/>
        </w:rPr>
        <w:t xml:space="preserve">2.2  Link-Prediction Pre-Training as Unsupervised Embedding Engine</w:t>
      </w:r>
    </w:p>
    <w:p>
      <w:pPr>
        <w:spacing w:after="60" w:before="60"/>
      </w:pPr>
      <w:r>
        <w:rPr>
          <w:rFonts w:ascii="Arial" w:cs="Arial" w:eastAsia="Arial" w:hAnsi="Arial"/>
          <w:b w:val="false"/>
          <w:bCs w:val="false"/>
          <w:color w:val="2F2F2F"/>
          <w:sz w:val="22"/>
          <w:szCs w:val="22"/>
        </w:rPr>
        <w:t xml:space="preserve">Rather than relying on node labels, we exploit link-prediction as a self-supervised task to learn node embeddings. Because the GNN must predict whether an edge exists between a pollinator and a plant, it is forced to encode the structural neighbourhood and interaction specificity of each node — naturally capturing ecological concepts such as diet breadth and interaction fidelity — without any manually labelled training data.</w:t>
      </w:r>
    </w:p>
    <w:p>
      <w:pPr>
        <w:pStyle w:val="Heading2"/>
        <w:spacing w:after="80" w:before="240"/>
      </w:pPr>
      <w:r>
        <w:rPr>
          <w:rFonts w:ascii="Arial" w:cs="Arial" w:eastAsia="Arial" w:hAnsi="Arial"/>
          <w:b/>
          <w:bCs/>
          <w:color w:val="1F5C99"/>
          <w:sz w:val="28"/>
          <w:szCs w:val="28"/>
        </w:rPr>
        <w:t xml:space="preserve">2.3  Automatic Role Discovery via Graph Embeddings + k-means</w:t>
      </w:r>
    </w:p>
    <w:p>
      <w:pPr>
        <w:spacing w:after="60" w:before="60"/>
      </w:pPr>
      <w:r>
        <w:rPr>
          <w:rFonts w:ascii="Arial" w:cs="Arial" w:eastAsia="Arial" w:hAnsi="Arial"/>
          <w:b w:val="false"/>
          <w:bCs w:val="false"/>
          <w:color w:val="2F2F2F"/>
          <w:sz w:val="22"/>
          <w:szCs w:val="22"/>
        </w:rPr>
        <w:t xml:space="preserve">The learned embeddings are clustered with k-means (k=4 fixed for comparability; k optimised per network for quality checks). The four emergent clusters are interpretable as ecologically meaningful functional roles: Generalist, Specialist, Connector, and Keystone. This constitutes a fully unsupervised pipeline from raw interaction data to named ecological roles.</w:t>
      </w:r>
    </w:p>
    <w:p>
      <w:pPr>
        <w:pStyle w:val="Heading2"/>
        <w:spacing w:after="80" w:before="240"/>
      </w:pPr>
      <w:r>
        <w:rPr>
          <w:rFonts w:ascii="Arial" w:cs="Arial" w:eastAsia="Arial" w:hAnsi="Arial"/>
          <w:b/>
          <w:bCs/>
          <w:color w:val="1F5C99"/>
          <w:sz w:val="28"/>
          <w:szCs w:val="28"/>
        </w:rPr>
        <w:t xml:space="preserve">2.4  Validation with Two Independent Quality Metrics</w:t>
      </w:r>
    </w:p>
    <w:p>
      <w:pPr>
        <w:spacing w:after="60" w:before="60"/>
      </w:pPr>
      <w:r>
        <w:rPr>
          <w:rFonts w:ascii="Arial" w:cs="Arial" w:eastAsia="Arial" w:hAnsi="Arial"/>
          <w:b w:val="false"/>
          <w:bCs w:val="false"/>
          <w:color w:val="2F2F2F"/>
          <w:sz w:val="22"/>
          <w:szCs w:val="22"/>
        </w:rPr>
        <w:t xml:space="preserve">Each network's GNN model is validated on two independent axes:</w:t>
      </w:r>
    </w:p>
    <w:p>
      <w:pPr>
        <w:pStyle w:val="ListParagraph"/>
        <w:numPr>
          <w:ilvl w:val="0"/>
          <w:numId w:val="2"/>
        </w:numPr>
        <w:spacing w:after="40" w:before="40"/>
      </w:pPr>
      <w:r>
        <w:rPr>
          <w:rFonts w:ascii="Arial" w:cs="Arial" w:eastAsia="Arial" w:hAnsi="Arial"/>
          <w:color w:val="2F2F2F"/>
          <w:sz w:val="22"/>
          <w:szCs w:val="22"/>
        </w:rPr>
        <w:t xml:space="preserve">Link-Prediction AUC — measures whether the GNN has learned a structurally accurate representation of the network.</w:t>
      </w:r>
    </w:p>
    <w:p>
      <w:pPr>
        <w:pStyle w:val="ListParagraph"/>
        <w:numPr>
          <w:ilvl w:val="0"/>
          <w:numId w:val="2"/>
        </w:numPr>
        <w:spacing w:after="40" w:before="40"/>
      </w:pPr>
      <w:r>
        <w:rPr>
          <w:rFonts w:ascii="Arial" w:cs="Arial" w:eastAsia="Arial" w:hAnsi="Arial"/>
          <w:color w:val="2F2F2F"/>
          <w:sz w:val="22"/>
          <w:szCs w:val="22"/>
        </w:rPr>
        <w:t xml:space="preserve">Clustering Silhouette Score (k=4) — measures whether the four discovered roles are internally cohesive and mutually separated in embedding space.</w:t>
      </w:r>
    </w:p>
    <w:p>
      <w:pPr>
        <w:spacing w:after="60" w:before="60"/>
      </w:pPr>
      <w:r>
        <w:rPr>
          <w:rFonts w:ascii="Arial" w:cs="Arial" w:eastAsia="Arial" w:hAnsi="Arial"/>
          <w:b w:val="false"/>
          <w:bCs w:val="false"/>
          <w:color w:val="2F2F2F"/>
          <w:sz w:val="22"/>
          <w:szCs w:val="22"/>
        </w:rPr>
        <w:t xml:space="preserve">Using both metrics jointly allows us to distinguish high-quality role assignments from artefacts of small-network noise.</w:t>
      </w:r>
    </w:p>
    <w:p>
      <w:pPr>
        <w:pStyle w:val="Heading2"/>
        <w:spacing w:after="80" w:before="240"/>
      </w:pPr>
      <w:r>
        <w:rPr>
          <w:rFonts w:ascii="Arial" w:cs="Arial" w:eastAsia="Arial" w:hAnsi="Arial"/>
          <w:b/>
          <w:bCs/>
          <w:color w:val="1F5C99"/>
          <w:sz w:val="28"/>
          <w:szCs w:val="28"/>
        </w:rPr>
        <w:t xml:space="preserve">2.5  Connectance-Role Gradient Discovery</w:t>
      </w:r>
    </w:p>
    <w:p>
      <w:pPr>
        <w:spacing w:after="60" w:before="60"/>
      </w:pPr>
      <w:r>
        <w:rPr>
          <w:rFonts w:ascii="Arial" w:cs="Arial" w:eastAsia="Arial" w:hAnsi="Arial"/>
          <w:b w:val="false"/>
          <w:bCs w:val="false"/>
          <w:color w:val="2F2F2F"/>
          <w:sz w:val="22"/>
          <w:szCs w:val="22"/>
        </w:rPr>
        <w:t xml:space="preserve">By correlating network connectance with role proportions across 172 networks we reveal a statistically significant gradient: Generalist proportion increases with connectance (r=0.48, p&lt;0.001), while Specialist and Connector proportions decrease (r=−0.26 and r=−0.20 respectively). This is a novel, data-driven confirmation of macro-ecological theory at network-corpus scale.</w:t>
      </w:r>
    </w:p>
    <w:p>
      <w:pPr>
        <w:pStyle w:val="Heading2"/>
        <w:spacing w:after="80" w:before="240"/>
      </w:pPr>
      <w:r>
        <w:rPr>
          <w:rFonts w:ascii="Arial" w:cs="Arial" w:eastAsia="Arial" w:hAnsi="Arial"/>
          <w:b/>
          <w:bCs/>
          <w:color w:val="1F5C99"/>
          <w:sz w:val="28"/>
          <w:szCs w:val="28"/>
        </w:rPr>
        <w:t xml:space="preserve">2.6  Network-Size Scaling of Role Composition</w:t>
      </w:r>
    </w:p>
    <w:p>
      <w:pPr>
        <w:spacing w:after="60" w:before="60"/>
      </w:pPr>
      <w:r>
        <w:rPr>
          <w:rFonts w:ascii="Arial" w:cs="Arial" w:eastAsia="Arial" w:hAnsi="Arial"/>
          <w:b w:val="false"/>
          <w:bCs w:val="false"/>
          <w:color w:val="2F2F2F"/>
          <w:sz w:val="22"/>
          <w:szCs w:val="22"/>
        </w:rPr>
        <w:t xml:space="preserve">We demonstrate that role composition shifts systematically with network size (Small → Medium → Large), with Generalist representation collapsing as networks grow. This scaling behaviour has not previously been characterised empirically across a corpus of this breadth.</w:t>
      </w:r>
    </w:p>
    <w:p>
      <w:r>
        <w:br w:type="page"/>
      </w:r>
    </w:p>
    <w:p>
      <w:pPr>
        <w:pStyle w:val="Heading1"/>
        <w:spacing w:after="120" w:before="360"/>
      </w:pPr>
      <w:r>
        <w:rPr>
          <w:rFonts w:ascii="Arial" w:cs="Arial" w:eastAsia="Arial" w:hAnsi="Arial"/>
          <w:b/>
          <w:bCs/>
          <w:color w:val="1F5C99"/>
          <w:sz w:val="36"/>
          <w:szCs w:val="36"/>
        </w:rPr>
        <w:t xml:space="preserve">3. Methodology</w:t>
      </w:r>
    </w:p>
    <w:p>
      <w:pPr>
        <w:pBdr>
          <w:bottom w:val="single" w:color="1F5C99" w:sz="4" w:space="1"/>
        </w:pBdr>
        <w:spacing w:after="240" w:before="240"/>
      </w:pPr>
      <w:r>
        <w:t xml:space="preserve"/>
      </w:r>
    </w:p>
    <w:p>
      <w:pPr>
        <w:pStyle w:val="Heading2"/>
        <w:spacing w:after="80" w:before="240"/>
      </w:pPr>
      <w:r>
        <w:rPr>
          <w:rFonts w:ascii="Arial" w:cs="Arial" w:eastAsia="Arial" w:hAnsi="Arial"/>
          <w:b/>
          <w:bCs/>
          <w:color w:val="1F5C99"/>
          <w:sz w:val="28"/>
          <w:szCs w:val="28"/>
        </w:rPr>
        <w:t xml:space="preserve">3.1  Dataset</w:t>
      </w:r>
    </w:p>
    <w:p>
      <w:pPr>
        <w:spacing w:after="60" w:before="60"/>
      </w:pPr>
      <w:r>
        <w:rPr>
          <w:rFonts w:ascii="Arial" w:cs="Arial" w:eastAsia="Arial" w:hAnsi="Arial"/>
          <w:b w:val="false"/>
          <w:bCs w:val="false"/>
          <w:color w:val="2F2F2F"/>
          <w:sz w:val="22"/>
          <w:szCs w:val="22"/>
        </w:rPr>
        <w:t xml:space="preserve">All 172 plant–pollinator bipartite networks were obtained from the Web of Life database (www.web-of-life.es). Each network encodes visit interactions between pollinator species (rows) and plant species (columns), represented as a bipartite graph G = (U ∪ V, E) where U = pollinator nodes, V = plant nodes, and E = observed interaction edges.</w:t>
      </w:r>
    </w:p>
    <w:p>
      <w:pPr>
        <w:pStyle w:val="Heading2"/>
        <w:spacing w:after="80" w:before="240"/>
      </w:pPr>
      <w:r>
        <w:rPr>
          <w:rFonts w:ascii="Arial" w:cs="Arial" w:eastAsia="Arial" w:hAnsi="Arial"/>
          <w:b/>
          <w:bCs/>
          <w:color w:val="1F5C99"/>
          <w:sz w:val="28"/>
          <w:szCs w:val="28"/>
        </w:rPr>
        <w:t xml:space="preserve">3.2  GNN Architecture</w:t>
      </w:r>
    </w:p>
    <w:p>
      <w:pPr>
        <w:spacing w:after="60" w:before="60"/>
      </w:pPr>
      <w:r>
        <w:rPr>
          <w:rFonts w:ascii="Arial" w:cs="Arial" w:eastAsia="Arial" w:hAnsi="Arial"/>
          <w:b w:val="false"/>
          <w:bCs w:val="false"/>
          <w:color w:val="2F2F2F"/>
          <w:sz w:val="22"/>
          <w:szCs w:val="22"/>
        </w:rPr>
        <w:t xml:space="preserve">We use a two-layer GraphSAGE encoder. For each network:</w:t>
      </w:r>
    </w:p>
    <w:p>
      <w:pPr>
        <w:pStyle w:val="ListParagraph"/>
        <w:numPr>
          <w:ilvl w:val="0"/>
          <w:numId w:val="2"/>
        </w:numPr>
        <w:spacing w:after="40" w:before="40"/>
      </w:pPr>
      <w:r>
        <w:rPr>
          <w:rFonts w:ascii="Arial" w:cs="Arial" w:eastAsia="Arial" w:hAnsi="Arial"/>
          <w:color w:val="2F2F2F"/>
          <w:sz w:val="22"/>
          <w:szCs w:val="22"/>
        </w:rPr>
        <w:t xml:space="preserve">Node features are initialised with structural descriptors (degree, weighted degree where available).</w:t>
      </w:r>
    </w:p>
    <w:p>
      <w:pPr>
        <w:pStyle w:val="ListParagraph"/>
        <w:numPr>
          <w:ilvl w:val="0"/>
          <w:numId w:val="2"/>
        </w:numPr>
        <w:spacing w:after="40" w:before="40"/>
      </w:pPr>
      <w:r>
        <w:rPr>
          <w:rFonts w:ascii="Arial" w:cs="Arial" w:eastAsia="Arial" w:hAnsi="Arial"/>
          <w:color w:val="2F2F2F"/>
          <w:sz w:val="22"/>
          <w:szCs w:val="22"/>
        </w:rPr>
        <w:t xml:space="preserve">Two message-passing layers aggregate neighbourhood information into a 64-dimensional embedding.</w:t>
      </w:r>
    </w:p>
    <w:p>
      <w:pPr>
        <w:pStyle w:val="ListParagraph"/>
        <w:numPr>
          <w:ilvl w:val="0"/>
          <w:numId w:val="2"/>
        </w:numPr>
        <w:spacing w:after="40" w:before="40"/>
      </w:pPr>
      <w:r>
        <w:rPr>
          <w:rFonts w:ascii="Arial" w:cs="Arial" w:eastAsia="Arial" w:hAnsi="Arial"/>
          <w:color w:val="2F2F2F"/>
          <w:sz w:val="22"/>
          <w:szCs w:val="22"/>
        </w:rPr>
        <w:t xml:space="preserve">A link-prediction decoder (dot-product similarity) is trained with binary cross-entropy loss on positive and negative edge samples.</w:t>
      </w:r>
    </w:p>
    <w:p>
      <w:pPr>
        <w:pStyle w:val="Heading2"/>
        <w:spacing w:after="80" w:before="240"/>
      </w:pPr>
      <w:r>
        <w:rPr>
          <w:rFonts w:ascii="Arial" w:cs="Arial" w:eastAsia="Arial" w:hAnsi="Arial"/>
          <w:b/>
          <w:bCs/>
          <w:color w:val="1F5C99"/>
          <w:sz w:val="28"/>
          <w:szCs w:val="28"/>
        </w:rPr>
        <w:t xml:space="preserve">3.3  Role Assignment</w:t>
      </w:r>
    </w:p>
    <w:p>
      <w:pPr>
        <w:spacing w:after="60" w:before="60"/>
      </w:pPr>
      <w:r>
        <w:rPr>
          <w:rFonts w:ascii="Arial" w:cs="Arial" w:eastAsia="Arial" w:hAnsi="Arial"/>
          <w:b w:val="false"/>
          <w:bCs w:val="false"/>
          <w:color w:val="2F2F2F"/>
          <w:sz w:val="22"/>
          <w:szCs w:val="22"/>
        </w:rPr>
        <w:t xml:space="preserve">After training, pollinator node embeddings are extracted and clustered with k-means (k=4). The cluster assignment defines the node's functional role. The four roles are labelled post-hoc based on the mean embedding coordinates and corresponding structural properties of cluster members.</w:t>
      </w:r>
    </w:p>
    <w:p>
      <w:pPr>
        <w:pStyle w:val="Heading2"/>
        <w:spacing w:after="80" w:before="240"/>
      </w:pPr>
      <w:r>
        <w:rPr>
          <w:rFonts w:ascii="Arial" w:cs="Arial" w:eastAsia="Arial" w:hAnsi="Arial"/>
          <w:b/>
          <w:bCs/>
          <w:color w:val="1F5C99"/>
          <w:sz w:val="28"/>
          <w:szCs w:val="28"/>
        </w:rPr>
        <w:t xml:space="preserve">3.4  Quality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43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43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Area under ROC curve for held-out edge prediction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0.85 (acceptable)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Silhouette (k=4)</w:t>
            </w:r>
          </w:p>
        </w:tc>
        <w:tc>
          <w:tcPr>
            <w:tcW w:type="dxa" w:w="343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Mean silhouette coefficient of k=4 pollinator clusters</w:t>
            </w:r>
          </w:p>
        </w:tc>
        <w:tc>
          <w:tcPr>
            <w:tcW w:type="dxa" w:w="343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 0.25 (acceptable)</w:t>
            </w:r>
          </w:p>
        </w:tc>
      </w:tr>
    </w:tbl>
    <w:p>
      <w:r>
        <w:br w:type="page"/>
      </w:r>
    </w:p>
    <w:p>
      <w:pPr>
        <w:pStyle w:val="Heading1"/>
        <w:spacing w:after="120" w:before="360"/>
      </w:pPr>
      <w:r>
        <w:rPr>
          <w:rFonts w:ascii="Arial" w:cs="Arial" w:eastAsia="Arial" w:hAnsi="Arial"/>
          <w:b/>
          <w:bCs/>
          <w:color w:val="1F5C99"/>
          <w:sz w:val="36"/>
          <w:szCs w:val="36"/>
        </w:rPr>
        <w:t xml:space="preserve">4. Results and Visualisation Analysis</w:t>
      </w:r>
    </w:p>
    <w:p>
      <w:pPr>
        <w:pBdr>
          <w:bottom w:val="single" w:color="1F5C99" w:sz="4" w:space="1"/>
        </w:pBdr>
        <w:spacing w:after="240" w:before="240"/>
      </w:pPr>
      <w:r>
        <w:t xml:space="preserve"/>
      </w:r>
    </w:p>
    <w:p>
      <w:pPr>
        <w:pStyle w:val="Heading2"/>
        <w:spacing w:after="80" w:before="240"/>
      </w:pPr>
      <w:r>
        <w:rPr>
          <w:rFonts w:ascii="Arial" w:cs="Arial" w:eastAsia="Arial" w:hAnsi="Arial"/>
          <w:b/>
          <w:bCs/>
          <w:color w:val="1F5C99"/>
          <w:sz w:val="28"/>
          <w:szCs w:val="28"/>
        </w:rPr>
        <w:t xml:space="preserve">4.1  Role Composition Heatmap Across All Networks (Figure 1)</w:t>
      </w:r>
    </w:p>
    <w:p>
      <w:pPr>
        <w:spacing w:after="120" w:before="120"/>
        <w:jc w:val="center"/>
      </w:pPr>
      <w:r>
        <w:drawing>
          <wp:inline distT="0" distB="0" distL="0" distR="0">
            <wp:extent cx="36195000" cy="400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0" cy="40005000"/>
                    </a:xfrm>
                    <a:prstGeom prst="rect">
                      <a:avLst/>
                    </a:prstGeom>
                  </pic:spPr>
                </pic:pic>
              </a:graphicData>
            </a:graphic>
          </wp:inline>
        </w:drawing>
      </w:r>
    </w:p>
    <w:p>
      <w:pPr>
        <w:spacing w:after="120" w:before="20"/>
        <w:jc w:val="center"/>
      </w:pPr>
      <w:r>
        <w:rPr>
          <w:rFonts w:ascii="Arial" w:cs="Arial" w:eastAsia="Arial" w:hAnsi="Arial"/>
          <w:color w:val="555555"/>
          <w:sz w:val="18"/>
          <w:szCs w:val="18"/>
        </w:rPr>
        <w:t xml:space="preserve">Figure 1. Per-network percentage of pollinators assigned to each of the four GNN-discovered roles, ordered by dominant role.</w:t>
      </w:r>
    </w:p>
    <w:p>
      <w:pPr>
        <w:spacing w:after="60" w:before="60"/>
      </w:pPr>
      <w:r>
        <w:rPr>
          <w:rFonts w:ascii="Arial" w:cs="Arial" w:eastAsia="Arial" w:hAnsi="Arial"/>
          <w:b w:val="false"/>
          <w:bCs w:val="false"/>
          <w:color w:val="2F2F2F"/>
          <w:sz w:val="22"/>
          <w:szCs w:val="22"/>
        </w:rPr>
        <w:t xml:space="preserve">Observation: The heatmap reveals strong within-group coherence. Networks dominated by Connector pollinators (orange rows) tend to have near-zero Generalist representation, while Specialist-dominated networks show high Specialist percentages with variable Keystone fractions. The heatmap confirms that role dominance is a genuine binary signal rather than a gradual continuum, implying that ecosystems operate in distinct functional 'modes'.</w:t>
      </w:r>
    </w:p>
    <w:p>
      <w:pPr>
        <w:spacing w:after="60" w:before="60"/>
      </w:pPr>
      <w:r>
        <w:rPr>
          <w:rFonts w:ascii="Arial" w:cs="Arial" w:eastAsia="Arial" w:hAnsi="Arial"/>
          <w:b w:val="false"/>
          <w:bCs w:val="false"/>
          <w:color w:val="2F2F2F"/>
          <w:sz w:val="22"/>
          <w:szCs w:val="22"/>
        </w:rPr>
        <w:t xml:space="preserve">Significance: This structured clustering validates that the GNN embeddings capture real ecological distinctions rather than arbitrary numerical artefacts. The existence of clear dominant-role blocks across geographically distinct networks implies that functional role organisation is a universal property of pollination systems.</w:t>
      </w:r>
    </w:p>
    <w:p>
      <w:pPr>
        <w:pStyle w:val="Heading2"/>
        <w:spacing w:after="80" w:before="240"/>
      </w:pPr>
      <w:r>
        <w:rPr>
          <w:rFonts w:ascii="Arial" w:cs="Arial" w:eastAsia="Arial" w:hAnsi="Arial"/>
          <w:b/>
          <w:bCs/>
          <w:color w:val="1F5C99"/>
          <w:sz w:val="28"/>
          <w:szCs w:val="28"/>
        </w:rPr>
        <w:t xml:space="preserve">4.2  Stacked Role Proportions by Network (Figure 2)</w:t>
      </w:r>
    </w:p>
    <w:p>
      <w:pPr>
        <w:spacing w:after="120" w:before="120"/>
        <w:jc w:val="center"/>
      </w:pPr>
      <w:r>
        <w:drawing>
          <wp:inline distT="0" distB="0" distL="0" distR="0">
            <wp:extent cx="49530000" cy="3429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0" cy="34290000"/>
                    </a:xfrm>
                    <a:prstGeom prst="rect">
                      <a:avLst/>
                    </a:prstGeom>
                  </pic:spPr>
                </pic:pic>
              </a:graphicData>
            </a:graphic>
          </wp:inline>
        </w:drawing>
      </w:r>
    </w:p>
    <w:p>
      <w:pPr>
        <w:spacing w:after="120" w:before="20"/>
        <w:jc w:val="center"/>
      </w:pPr>
      <w:r>
        <w:rPr>
          <w:rFonts w:ascii="Arial" w:cs="Arial" w:eastAsia="Arial" w:hAnsi="Arial"/>
          <w:color w:val="555555"/>
          <w:sz w:val="18"/>
          <w:szCs w:val="18"/>
        </w:rPr>
        <w:t xml:space="preserve">Figure 2. Stacked bar chart showing the proportional role composition of each of the 172 networks.</w:t>
      </w:r>
    </w:p>
    <w:p>
      <w:pPr>
        <w:spacing w:after="60" w:before="60"/>
      </w:pPr>
      <w:r>
        <w:rPr>
          <w:rFonts w:ascii="Arial" w:cs="Arial" w:eastAsia="Arial" w:hAnsi="Arial"/>
          <w:b w:val="false"/>
          <w:bCs w:val="false"/>
          <w:color w:val="2F2F2F"/>
          <w:sz w:val="22"/>
          <w:szCs w:val="22"/>
        </w:rPr>
        <w:t xml:space="preserve">Observation: When networks are sorted by their Connector proportion, a clear gradient is visible. Networks at the high-Connector end show suppression of both Specialist and Generalist roles, suggesting that Connector-type architectures represent a distinct network organisation strategy. Highly Keystone-dominated networks cluster at one extreme with uniformly low Generalist fractions.</w:t>
      </w:r>
    </w:p>
    <w:p>
      <w:pPr>
        <w:spacing w:after="60" w:before="60"/>
      </w:pPr>
      <w:r>
        <w:rPr>
          <w:rFonts w:ascii="Arial" w:cs="Arial" w:eastAsia="Arial" w:hAnsi="Arial"/>
          <w:b w:val="false"/>
          <w:bCs w:val="false"/>
          <w:color w:val="2F2F2F"/>
          <w:sz w:val="22"/>
          <w:szCs w:val="22"/>
        </w:rPr>
        <w:t xml:space="preserve">Significance: The visualisation confirms that role compositions are not random mixtures — there are systematic co-occurrence patterns between roles. Connector and Generalist roles appear to be inversely structured, consistent with the connectance-role gradient reported in Section 4.5.</w:t>
      </w:r>
    </w:p>
    <w:p>
      <w:pPr>
        <w:pStyle w:val="Heading2"/>
        <w:spacing w:after="80" w:before="240"/>
      </w:pPr>
      <w:r>
        <w:rPr>
          <w:rFonts w:ascii="Arial" w:cs="Arial" w:eastAsia="Arial" w:hAnsi="Arial"/>
          <w:b/>
          <w:bCs/>
          <w:color w:val="1F5C99"/>
          <w:sz w:val="28"/>
          <w:szCs w:val="28"/>
        </w:rPr>
        <w:t xml:space="preserve">4.3  Connectance vs Role Proportions (Figure 3)</w:t>
      </w:r>
    </w:p>
    <w:p>
      <w:pPr>
        <w:spacing w:after="120" w:before="120"/>
        <w:jc w:val="center"/>
      </w:pPr>
      <w:r>
        <w:drawing>
          <wp:inline distT="0" distB="0" distL="0" distR="0">
            <wp:extent cx="57150000" cy="428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0" cy="42862500"/>
                    </a:xfrm>
                    <a:prstGeom prst="rect">
                      <a:avLst/>
                    </a:prstGeom>
                  </pic:spPr>
                </pic:pic>
              </a:graphicData>
            </a:graphic>
          </wp:inline>
        </w:drawing>
      </w:r>
    </w:p>
    <w:p>
      <w:pPr>
        <w:spacing w:after="120" w:before="20"/>
        <w:jc w:val="center"/>
      </w:pPr>
      <w:r>
        <w:rPr>
          <w:rFonts w:ascii="Arial" w:cs="Arial" w:eastAsia="Arial" w:hAnsi="Arial"/>
          <w:color w:val="555555"/>
          <w:sz w:val="18"/>
          <w:szCs w:val="18"/>
        </w:rPr>
        <w:t xml:space="preserve">Figure 3. Scatter plots of network connectance against the proportion of each GNN role. Points are coloured by dominant role. Dashed lines show OLS regression trends with Pearson r and p-value.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Pearson r</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p-value</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Generalist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 +0.48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 &lt; 0.001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positive</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Specialist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 = −0.26</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 = 0.001</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Moderate negative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 −0.20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 = 0.009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Weak negative</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Keystone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 = +0.07</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 = 0.345</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Non-significant</w:t>
            </w:r>
          </w:p>
        </w:tc>
      </w:tr>
    </w:tbl>
    <w:p>
      <w:r>
        <w:t xml:space="preserve"/>
      </w:r>
    </w:p>
    <w:p>
      <w:pPr>
        <w:spacing w:after="60" w:before="60"/>
      </w:pPr>
      <w:r>
        <w:rPr>
          <w:rFonts w:ascii="Arial" w:cs="Arial" w:eastAsia="Arial" w:hAnsi="Arial"/>
          <w:b w:val="false"/>
          <w:bCs w:val="false"/>
          <w:color w:val="2F2F2F"/>
          <w:sz w:val="22"/>
          <w:szCs w:val="22"/>
        </w:rPr>
        <w:t xml:space="preserve">Observation: Generalist pollinators increase significantly in proportion as connectance rises (r=0.48). In dense networks, more interactions are available and pollinators can afford broad foraging. Specialist and Connector roles decrease, because in a highly connected network the topological advantage of being a 'bridge' diminishes. Keystone role proportion is connectance-independent, suggesting it is governed by factors other than interaction density.</w:t>
      </w:r>
    </w:p>
    <w:p>
      <w:pPr>
        <w:spacing w:after="60" w:before="60"/>
      </w:pPr>
      <w:r>
        <w:rPr>
          <w:rFonts w:ascii="Arial" w:cs="Arial" w:eastAsia="Arial" w:hAnsi="Arial"/>
          <w:b w:val="false"/>
          <w:bCs w:val="false"/>
          <w:color w:val="2F2F2F"/>
          <w:sz w:val="22"/>
          <w:szCs w:val="22"/>
        </w:rPr>
        <w:t xml:space="preserve">Significance: The connectance-generalism gradient represents a quantitative, GNN-derived confirmation of the classic ecological prediction that generalists thrive in resource-rich environments. The non-significance of the Keystone–connectance relationship is itself informative: Keystone species may be more sensitive to identity of interactions than their density.</w:t>
      </w:r>
    </w:p>
    <w:p>
      <w:pPr>
        <w:pStyle w:val="Heading2"/>
        <w:spacing w:after="80" w:before="240"/>
      </w:pPr>
      <w:r>
        <w:rPr>
          <w:rFonts w:ascii="Arial" w:cs="Arial" w:eastAsia="Arial" w:hAnsi="Arial"/>
          <w:b/>
          <w:bCs/>
          <w:color w:val="1F5C99"/>
          <w:sz w:val="28"/>
          <w:szCs w:val="28"/>
        </w:rPr>
        <w:t xml:space="preserve">4.4  GNN Quality Metrics — AUC and Silhouette (Figure 4)</w:t>
      </w:r>
    </w:p>
    <w:p>
      <w:pPr>
        <w:spacing w:after="120" w:before="120"/>
        <w:jc w:val="center"/>
      </w:pPr>
      <w:r>
        <w:drawing>
          <wp:inline distT="0" distB="0" distL="0" distR="0">
            <wp:extent cx="57150000" cy="2286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0" cy="22860000"/>
                    </a:xfrm>
                    <a:prstGeom prst="rect">
                      <a:avLst/>
                    </a:prstGeom>
                  </pic:spPr>
                </pic:pic>
              </a:graphicData>
            </a:graphic>
          </wp:inline>
        </w:drawing>
      </w:r>
    </w:p>
    <w:p>
      <w:pPr>
        <w:spacing w:after="120" w:before="20"/>
        <w:jc w:val="center"/>
      </w:pPr>
      <w:r>
        <w:rPr>
          <w:rFonts w:ascii="Arial" w:cs="Arial" w:eastAsia="Arial" w:hAnsi="Arial"/>
          <w:color w:val="555555"/>
          <w:sz w:val="18"/>
          <w:szCs w:val="18"/>
        </w:rPr>
        <w:t xml:space="preserve">Figure 4. Left: Distribution of link-prediction AUC across 172 networks (threshold 0.85 shown). Right: Clustering silhouette score distribution (k=4; acceptable threshold 0.25 shown).</w:t>
      </w:r>
    </w:p>
    <w:p>
      <w:pPr>
        <w:spacing w:after="60" w:before="60"/>
      </w:pPr>
      <w:r>
        <w:rPr>
          <w:rFonts w:ascii="Arial" w:cs="Arial" w:eastAsia="Arial" w:hAnsi="Arial"/>
          <w:b w:val="false"/>
          <w:bCs w:val="false"/>
          <w:color w:val="2F2F2F"/>
          <w:sz w:val="22"/>
          <w:szCs w:val="22"/>
        </w:rPr>
        <w:t xml:space="preserve">Observation (AUC): 171 of 172 networks achieve AUC ≥ 0.85, with a mean of 0.960. The distribution is left-skewed with most networks clustered between 0.94 and 1.00, indicating that the GNN consistently learns accurate structural representations even for small, sparse networks.</w:t>
      </w:r>
    </w:p>
    <w:p>
      <w:pPr>
        <w:spacing w:after="60" w:before="60"/>
      </w:pPr>
      <w:r>
        <w:rPr>
          <w:rFonts w:ascii="Arial" w:cs="Arial" w:eastAsia="Arial" w:hAnsi="Arial"/>
          <w:b w:val="false"/>
          <w:bCs w:val="false"/>
          <w:color w:val="2F2F2F"/>
          <w:sz w:val="22"/>
          <w:szCs w:val="22"/>
        </w:rPr>
        <w:t xml:space="preserve">Observation (Silhouette): The silhouette distribution has a mean of 0.384 with all networks exceeding the 0.25 acceptable threshold. The right tail (silhouette &gt; 0.55) corresponds to networks with exceptionally distinct role clusters, often medium-sized Connector-dominated systems.</w:t>
      </w:r>
    </w:p>
    <w:p>
      <w:pPr>
        <w:spacing w:after="60" w:before="60"/>
      </w:pPr>
      <w:r>
        <w:rPr>
          <w:rFonts w:ascii="Arial" w:cs="Arial" w:eastAsia="Arial" w:hAnsi="Arial"/>
          <w:b w:val="false"/>
          <w:bCs w:val="false"/>
          <w:color w:val="2F2F2F"/>
          <w:sz w:val="22"/>
          <w:szCs w:val="22"/>
        </w:rPr>
        <w:t xml:space="preserve">Significance: The dual quality validation confirms that the role assignments reported in this study are backed by statistically sound model performance. A single poorly-performing network (AUC = 0.79) was retained but flagged; its role assignments should be interpreted cautiously.</w:t>
      </w:r>
    </w:p>
    <w:p>
      <w:pPr>
        <w:pStyle w:val="Heading2"/>
        <w:spacing w:after="80" w:before="240"/>
      </w:pPr>
      <w:r>
        <w:rPr>
          <w:rFonts w:ascii="Arial" w:cs="Arial" w:eastAsia="Arial" w:hAnsi="Arial"/>
          <w:b/>
          <w:bCs/>
          <w:color w:val="1F5C99"/>
          <w:sz w:val="28"/>
          <w:szCs w:val="28"/>
        </w:rPr>
        <w:t xml:space="preserve">4.5  Network Size vs Pollinator Count — Size-Bubble Plot (Figure 5)</w:t>
      </w:r>
    </w:p>
    <w:p>
      <w:pPr>
        <w:spacing w:after="120" w:before="120"/>
        <w:jc w:val="center"/>
      </w:pPr>
      <w:r>
        <w:drawing>
          <wp:inline distT="0" distB="0" distL="0" distR="0">
            <wp:extent cx="57150000" cy="400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0" cy="40005000"/>
                    </a:xfrm>
                    <a:prstGeom prst="rect">
                      <a:avLst/>
                    </a:prstGeom>
                  </pic:spPr>
                </pic:pic>
              </a:graphicData>
            </a:graphic>
          </wp:inline>
        </w:drawing>
      </w:r>
    </w:p>
    <w:p>
      <w:pPr>
        <w:spacing w:after="120" w:before="20"/>
        <w:jc w:val="center"/>
      </w:pPr>
      <w:r>
        <w:rPr>
          <w:rFonts w:ascii="Arial" w:cs="Arial" w:eastAsia="Arial" w:hAnsi="Arial"/>
          <w:color w:val="555555"/>
          <w:sz w:val="18"/>
          <w:szCs w:val="18"/>
        </w:rPr>
        <w:t xml:space="preserve">Figure 5. Network size (plants vs pollinators) coloured by dominant GNN role; bubble area encodes number of interaction edges.</w:t>
      </w:r>
    </w:p>
    <w:p>
      <w:pPr>
        <w:spacing w:after="60" w:before="60"/>
      </w:pPr>
      <w:r>
        <w:rPr>
          <w:rFonts w:ascii="Arial" w:cs="Arial" w:eastAsia="Arial" w:hAnsi="Arial"/>
          <w:b w:val="false"/>
          <w:bCs w:val="false"/>
          <w:color w:val="2F2F2F"/>
          <w:sz w:val="22"/>
          <w:szCs w:val="22"/>
        </w:rPr>
        <w:t xml:space="preserve">Observation: Large networks (top-right of the scatter) are almost exclusively dominated by Connector or Specialist roles (orange and blue). Generalist-dominated networks (green) are concentrated in the small-network region (&lt; 30 plants, &lt; 100 pollinators). The single largest network (450+ plants, 1000+ pollinators) is Specialist-dominated with an enormous edge count.</w:t>
      </w:r>
    </w:p>
    <w:p>
      <w:pPr>
        <w:spacing w:after="60" w:before="60"/>
      </w:pPr>
      <w:r>
        <w:rPr>
          <w:rFonts w:ascii="Arial" w:cs="Arial" w:eastAsia="Arial" w:hAnsi="Arial"/>
          <w:b w:val="false"/>
          <w:bCs w:val="false"/>
          <w:color w:val="2F2F2F"/>
          <w:sz w:val="22"/>
          <w:szCs w:val="22"/>
        </w:rPr>
        <w:t xml:space="preserve">Significance: This pattern reveals an ecological scaling law — as ecosystem size grows, the structural importance of Generalist pollinators diminishes while Connector and Specialist roles become more pronounced. This may reflect niche partitioning pressure: in larger assemblages, specialisation becomes a more viable evolutionary strategy.</w:t>
      </w:r>
    </w:p>
    <w:p>
      <w:pPr>
        <w:pStyle w:val="Heading2"/>
        <w:spacing w:after="80" w:before="240"/>
      </w:pPr>
      <w:r>
        <w:rPr>
          <w:rFonts w:ascii="Arial" w:cs="Arial" w:eastAsia="Arial" w:hAnsi="Arial"/>
          <w:b/>
          <w:bCs/>
          <w:color w:val="1F5C99"/>
          <w:sz w:val="28"/>
          <w:szCs w:val="28"/>
        </w:rPr>
        <w:t xml:space="preserve">4.6  Summary Analysis Panel (Figure 6)</w:t>
      </w:r>
    </w:p>
    <w:p>
      <w:pPr>
        <w:spacing w:after="120" w:before="120"/>
        <w:jc w:val="center"/>
      </w:pPr>
      <w:r>
        <w:drawing>
          <wp:inline distT="0" distB="0" distL="0" distR="0">
            <wp:extent cx="64770000" cy="5334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770000" cy="53340000"/>
                    </a:xfrm>
                    <a:prstGeom prst="rect">
                      <a:avLst/>
                    </a:prstGeom>
                  </pic:spPr>
                </pic:pic>
              </a:graphicData>
            </a:graphic>
          </wp:inline>
        </w:drawing>
      </w:r>
    </w:p>
    <w:p>
      <w:pPr>
        <w:spacing w:after="120" w:before="20"/>
        <w:jc w:val="center"/>
      </w:pPr>
      <w:r>
        <w:rPr>
          <w:rFonts w:ascii="Arial" w:cs="Arial" w:eastAsia="Arial" w:hAnsi="Arial"/>
          <w:color w:val="555555"/>
          <w:sz w:val="18"/>
          <w:szCs w:val="18"/>
        </w:rPr>
        <w:t xml:space="preserve">Figure 6. Four-panel summary: (a) dominant role frequency donut, (b) role % boxplot, (c) silhouette vs AUC quality scatter, (d) mean role % by network size bin.</w:t>
      </w:r>
    </w:p>
    <w:p>
      <w:pPr>
        <w:spacing w:after="60" w:before="160"/>
      </w:pPr>
      <w:r>
        <w:rPr>
          <w:rFonts w:ascii="Arial" w:cs="Arial" w:eastAsia="Arial" w:hAnsi="Arial"/>
          <w:b/>
          <w:bCs/>
          <w:color w:val="2F2F2F"/>
          <w:sz w:val="24"/>
          <w:szCs w:val="24"/>
        </w:rPr>
        <w:t xml:space="preserve">4.6a  Dominant Role Frequency Donut</w:t>
      </w:r>
    </w:p>
    <w:p>
      <w:pPr>
        <w:spacing w:after="120" w:before="120"/>
        <w:jc w:val="center"/>
      </w:pPr>
      <w:r>
        <w:drawing>
          <wp:inline distT="0" distB="0" distL="0" distR="0">
            <wp:extent cx="34290000" cy="3429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290000" cy="34290000"/>
                    </a:xfrm>
                    <a:prstGeom prst="rect">
                      <a:avLst/>
                    </a:prstGeom>
                  </pic:spPr>
                </pic:pic>
              </a:graphicData>
            </a:graphic>
          </wp:inline>
        </w:drawing>
      </w:r>
    </w:p>
    <w:p>
      <w:pPr>
        <w:spacing w:after="120" w:before="20"/>
        <w:jc w:val="center"/>
      </w:pPr>
      <w:r>
        <w:rPr>
          <w:rFonts w:ascii="Arial" w:cs="Arial" w:eastAsia="Arial" w:hAnsi="Arial"/>
          <w:color w:val="555555"/>
          <w:sz w:val="18"/>
          <w:szCs w:val="18"/>
        </w:rPr>
        <w:t xml:space="preserve">Figure 6a. Dominant functional role distribution across 172 networks.</w:t>
      </w:r>
    </w:p>
    <w:p>
      <w:pPr>
        <w:spacing w:after="60" w:before="60"/>
      </w:pPr>
      <w:r>
        <w:rPr>
          <w:rFonts w:ascii="Arial" w:cs="Arial" w:eastAsia="Arial" w:hAnsi="Arial"/>
          <w:b w:val="false"/>
          <w:bCs w:val="false"/>
          <w:color w:val="2F2F2F"/>
          <w:sz w:val="22"/>
          <w:szCs w:val="22"/>
        </w:rPr>
        <w:t xml:space="preserve">Observation: Connector (38%) and Specialist (37%) roles are nearly equally dominant across the corpus, together accounting for 75% of all networks. Keystone networks (15%) represent a meaningful minority, while Generalist-dominant networks are rare (10%).</w:t>
      </w:r>
    </w:p>
    <w:p>
      <w:pPr>
        <w:spacing w:after="60" w:before="60"/>
      </w:pPr>
      <w:r>
        <w:rPr>
          <w:rFonts w:ascii="Arial" w:cs="Arial" w:eastAsia="Arial" w:hAnsi="Arial"/>
          <w:b w:val="false"/>
          <w:bCs w:val="false"/>
          <w:color w:val="2F2F2F"/>
          <w:sz w:val="22"/>
          <w:szCs w:val="22"/>
        </w:rPr>
        <w:t xml:space="preserve">Significance: The near-parity between Connector and Specialist dominance suggests that real-world pollination networks organise around two contrasting architectures — bridge-heavy (Connector) or diversity-heavy (Specialist) — without a universal preference. This bimodality has implications for resilience: Connector-dominated networks may be more vulnerable to the loss of hub species.</w:t>
      </w:r>
    </w:p>
    <w:p>
      <w:pPr>
        <w:spacing w:after="60" w:before="160"/>
      </w:pPr>
      <w:r>
        <w:rPr>
          <w:rFonts w:ascii="Arial" w:cs="Arial" w:eastAsia="Arial" w:hAnsi="Arial"/>
          <w:b/>
          <w:bCs/>
          <w:color w:val="2F2F2F"/>
          <w:sz w:val="24"/>
          <w:szCs w:val="24"/>
        </w:rPr>
        <w:t xml:space="preserve">4.6b  Role Proportion Boxplot</w:t>
      </w:r>
    </w:p>
    <w:p>
      <w:pPr>
        <w:spacing w:after="120" w:before="120"/>
        <w:jc w:val="center"/>
      </w:pPr>
      <w:r>
        <w:drawing>
          <wp:inline distT="0" distB="0" distL="0" distR="0">
            <wp:extent cx="53340000" cy="381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0" cy="38100000"/>
                    </a:xfrm>
                    <a:prstGeom prst="rect">
                      <a:avLst/>
                    </a:prstGeom>
                  </pic:spPr>
                </pic:pic>
              </a:graphicData>
            </a:graphic>
          </wp:inline>
        </w:drawing>
      </w:r>
    </w:p>
    <w:p>
      <w:pPr>
        <w:spacing w:after="120" w:before="20"/>
        <w:jc w:val="center"/>
      </w:pPr>
      <w:r>
        <w:rPr>
          <w:rFonts w:ascii="Arial" w:cs="Arial" w:eastAsia="Arial" w:hAnsi="Arial"/>
          <w:color w:val="555555"/>
          <w:sz w:val="18"/>
          <w:szCs w:val="18"/>
        </w:rPr>
        <w:t xml:space="preserve">Figure 6b. Distribution of each role's % proportion across all 172 networks.</w:t>
      </w:r>
    </w:p>
    <w:p>
      <w:pPr>
        <w:spacing w:after="60" w:before="60"/>
      </w:pPr>
      <w:r>
        <w:rPr>
          <w:rFonts w:ascii="Arial" w:cs="Arial" w:eastAsia="Arial" w:hAnsi="Arial"/>
          <w:b w:val="false"/>
          <w:bCs w:val="false"/>
          <w:color w:val="2F2F2F"/>
          <w:sz w:val="22"/>
          <w:szCs w:val="22"/>
        </w:rPr>
        <w:t xml:space="preserve">Observation: Generalist has the lowest median (~5%) and the tightest IQR, confirming it is a minority role in most networks. Specialist and Connector share similar medians (~32% and ~30% respectively) but both have wide interquartile ranges (~17–47%), reflecting high network-to-network variation. Keystone has a median ~25% but a narrower box, suggesting moderate and relatively stable representation.</w:t>
      </w:r>
    </w:p>
    <w:p>
      <w:pPr>
        <w:spacing w:after="60" w:before="60"/>
      </w:pPr>
      <w:r>
        <w:rPr>
          <w:rFonts w:ascii="Arial" w:cs="Arial" w:eastAsia="Arial" w:hAnsi="Arial"/>
          <w:b w:val="false"/>
          <w:bCs w:val="false"/>
          <w:color w:val="2F2F2F"/>
          <w:sz w:val="22"/>
          <w:szCs w:val="22"/>
        </w:rPr>
        <w:t xml:space="preserve">Significance: The wide variance in Specialist and Connector proportions across networks indicates that these roles are highly context-dependent, shaped by local ecological conditions. Keystone's comparative stability hints that ecosystems may maintain a 'baseline' of high-impact species regardless of their overall structural type.</w:t>
      </w:r>
    </w:p>
    <w:p>
      <w:pPr>
        <w:spacing w:after="60" w:before="160"/>
      </w:pPr>
      <w:r>
        <w:rPr>
          <w:rFonts w:ascii="Arial" w:cs="Arial" w:eastAsia="Arial" w:hAnsi="Arial"/>
          <w:b/>
          <w:bCs/>
          <w:color w:val="2F2F2F"/>
          <w:sz w:val="24"/>
          <w:szCs w:val="24"/>
        </w:rPr>
        <w:t xml:space="preserve">4.6c  Quality Scatter: Silhouette vs AUC</w:t>
      </w:r>
    </w:p>
    <w:p>
      <w:pPr>
        <w:spacing w:after="120" w:before="120"/>
        <w:jc w:val="center"/>
      </w:pPr>
      <w:r>
        <w:drawing>
          <wp:inline distT="0" distB="0" distL="0" distR="0">
            <wp:extent cx="53340000" cy="390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0" cy="39052500"/>
                    </a:xfrm>
                    <a:prstGeom prst="rect">
                      <a:avLst/>
                    </a:prstGeom>
                  </pic:spPr>
                </pic:pic>
              </a:graphicData>
            </a:graphic>
          </wp:inline>
        </w:drawing>
      </w:r>
    </w:p>
    <w:p>
      <w:pPr>
        <w:spacing w:after="120" w:before="20"/>
        <w:jc w:val="center"/>
      </w:pPr>
      <w:r>
        <w:rPr>
          <w:rFonts w:ascii="Arial" w:cs="Arial" w:eastAsia="Arial" w:hAnsi="Arial"/>
          <w:color w:val="555555"/>
          <w:sz w:val="18"/>
          <w:szCs w:val="18"/>
        </w:rPr>
        <w:t xml:space="preserve">Figure 6c. Scatter of clustering silhouette (y) vs link-prediction AUC (x), coloured by dominant role.</w:t>
      </w:r>
    </w:p>
    <w:p>
      <w:pPr>
        <w:spacing w:after="60" w:before="60"/>
      </w:pPr>
      <w:r>
        <w:rPr>
          <w:rFonts w:ascii="Arial" w:cs="Arial" w:eastAsia="Arial" w:hAnsi="Arial"/>
          <w:b w:val="false"/>
          <w:bCs w:val="false"/>
          <w:color w:val="2F2F2F"/>
          <w:sz w:val="22"/>
          <w:szCs w:val="22"/>
        </w:rPr>
        <w:t xml:space="preserve">Observation: There is no strong correlation between AUC and silhouette scores — networks with very high AUC span the full range of silhouette values. Keystone-dominant networks (yellow) tend to appear at higher silhouette values for a given AUC, suggesting that Keystone role structures are especially well-separated in embedding space.</w:t>
      </w:r>
    </w:p>
    <w:p>
      <w:pPr>
        <w:spacing w:after="60" w:before="60"/>
      </w:pPr>
      <w:r>
        <w:rPr>
          <w:rFonts w:ascii="Arial" w:cs="Arial" w:eastAsia="Arial" w:hAnsi="Arial"/>
          <w:b w:val="false"/>
          <w:bCs w:val="false"/>
          <w:color w:val="2F2F2F"/>
          <w:sz w:val="22"/>
          <w:szCs w:val="22"/>
        </w:rPr>
        <w:t xml:space="preserve">Significance: The independence of the two quality metrics validates that they measure genuinely distinct aspects of model quality. High AUC certifies structural accuracy; high silhouette certifies role separability. The best-quality networks (upper right quadrant) provide the most reliable role assignments for downstream ecological inference.</w:t>
      </w:r>
    </w:p>
    <w:p>
      <w:pPr>
        <w:spacing w:after="60" w:before="160"/>
      </w:pPr>
      <w:r>
        <w:rPr>
          <w:rFonts w:ascii="Arial" w:cs="Arial" w:eastAsia="Arial" w:hAnsi="Arial"/>
          <w:b/>
          <w:bCs/>
          <w:color w:val="2F2F2F"/>
          <w:sz w:val="24"/>
          <w:szCs w:val="24"/>
        </w:rPr>
        <w:t xml:space="preserve">4.6d  Mean Role % by Network Size Bin</w:t>
      </w:r>
    </w:p>
    <w:p>
      <w:pPr>
        <w:spacing w:after="120" w:before="120"/>
        <w:jc w:val="center"/>
      </w:pPr>
      <w:r>
        <w:drawing>
          <wp:inline distT="0" distB="0" distL="0" distR="0">
            <wp:extent cx="53340000" cy="381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0" cy="38100000"/>
                    </a:xfrm>
                    <a:prstGeom prst="rect">
                      <a:avLst/>
                    </a:prstGeom>
                  </pic:spPr>
                </pic:pic>
              </a:graphicData>
            </a:graphic>
          </wp:inline>
        </w:drawing>
      </w:r>
    </w:p>
    <w:p>
      <w:pPr>
        <w:spacing w:after="120" w:before="20"/>
        <w:jc w:val="center"/>
      </w:pPr>
      <w:r>
        <w:rPr>
          <w:rFonts w:ascii="Arial" w:cs="Arial" w:eastAsia="Arial" w:hAnsi="Arial"/>
          <w:color w:val="555555"/>
          <w:sz w:val="18"/>
          <w:szCs w:val="18"/>
        </w:rPr>
        <w:t xml:space="preserve">Figure 6d. Mean proportion of each role split by Small, Medium, and Large network size bins.</w:t>
      </w:r>
    </w:p>
    <w:p>
      <w:pPr>
        <w:spacing w:after="60" w:before="60"/>
      </w:pPr>
      <w:r>
        <w:rPr>
          <w:rFonts w:ascii="Arial" w:cs="Arial" w:eastAsia="Arial" w:hAnsi="Arial"/>
          <w:b w:val="false"/>
          <w:bCs w:val="false"/>
          <w:color w:val="2F2F2F"/>
          <w:sz w:val="22"/>
          <w:szCs w:val="22"/>
        </w:rPr>
        <w:t xml:space="preserve">Observation: Generalist proportion drops monotonically from ~24% (Small) to ~7% (Medium) to ~4% (Large). Specialist increases from ~25% to ~34% to ~39%. Connector follows a similar increasing trend (22% → 37% → 33%). Keystone remains relatively stable at ~22–28% across size bins with a slight dip in medium-sized networks.</w:t>
      </w:r>
    </w:p>
    <w:p>
      <w:pPr>
        <w:spacing w:after="60" w:before="60"/>
      </w:pPr>
      <w:r>
        <w:rPr>
          <w:rFonts w:ascii="Arial" w:cs="Arial" w:eastAsia="Arial" w:hAnsi="Arial"/>
          <w:b w:val="false"/>
          <w:bCs w:val="false"/>
          <w:color w:val="2F2F2F"/>
          <w:sz w:val="22"/>
          <w:szCs w:val="22"/>
        </w:rPr>
        <w:t xml:space="preserve">Significance: The monotonic decline of Generalists and rise of Specialists with network size is one of the most ecologically important findings of this study. It implies that large pollination ecosystems favour specialised, efficient interactions over broad generalist foraging — possibly a consequence of increased competition and niche partitioning in species-rich communities.</w:t>
      </w:r>
    </w:p>
    <w:p>
      <w:r>
        <w:br w:type="page"/>
      </w:r>
    </w:p>
    <w:p>
      <w:pPr>
        <w:pStyle w:val="Heading1"/>
        <w:spacing w:after="120" w:before="360"/>
      </w:pPr>
      <w:r>
        <w:rPr>
          <w:rFonts w:ascii="Arial" w:cs="Arial" w:eastAsia="Arial" w:hAnsi="Arial"/>
          <w:b/>
          <w:bCs/>
          <w:color w:val="1F5C99"/>
          <w:sz w:val="36"/>
          <w:szCs w:val="36"/>
        </w:rPr>
        <w:t xml:space="preserve">5. Ecological Significance and Interpretation</w:t>
      </w:r>
    </w:p>
    <w:p>
      <w:pPr>
        <w:pBdr>
          <w:bottom w:val="single" w:color="1F5C99" w:sz="4" w:space="1"/>
        </w:pBdr>
        <w:spacing w:after="240" w:before="240"/>
      </w:pPr>
      <w:r>
        <w:t xml:space="preserve"/>
      </w:r>
    </w:p>
    <w:p>
      <w:pPr>
        <w:pStyle w:val="Heading2"/>
        <w:spacing w:after="80" w:before="240"/>
      </w:pPr>
      <w:r>
        <w:rPr>
          <w:rFonts w:ascii="Arial" w:cs="Arial" w:eastAsia="Arial" w:hAnsi="Arial"/>
          <w:b/>
          <w:bCs/>
          <w:color w:val="1F5C99"/>
          <w:sz w:val="28"/>
          <w:szCs w:val="28"/>
        </w:rPr>
        <w:t xml:space="preserve">5.1  The Connector-Specialist Dichotomy</w:t>
      </w:r>
    </w:p>
    <w:p>
      <w:pPr>
        <w:spacing w:after="60" w:before="60"/>
      </w:pPr>
      <w:r>
        <w:rPr>
          <w:rFonts w:ascii="Arial" w:cs="Arial" w:eastAsia="Arial" w:hAnsi="Arial"/>
          <w:b w:val="false"/>
          <w:bCs w:val="false"/>
          <w:color w:val="2F2F2F"/>
          <w:sz w:val="22"/>
          <w:szCs w:val="22"/>
        </w:rPr>
        <w:t xml:space="preserve">The near-equal prevalence of Connector (38%) and Specialist (37%) dominant networks implies that real ecosystems operate under two fundamentally different organisational logics. Connector-dominated networks depend on bridge species that link otherwise disconnected plant communities. Loss of these pollinators would fragment the network into disconnected modules, dramatically reducing pollination service delivery. Specialist-dominated networks, by contrast, are more modular by default — their resilience depends on maintaining species richness within specialised interaction guilds.</w:t>
      </w:r>
    </w:p>
    <w:p>
      <w:pPr>
        <w:pStyle w:val="Heading2"/>
        <w:spacing w:after="80" w:before="240"/>
      </w:pPr>
      <w:r>
        <w:rPr>
          <w:rFonts w:ascii="Arial" w:cs="Arial" w:eastAsia="Arial" w:hAnsi="Arial"/>
          <w:b/>
          <w:bCs/>
          <w:color w:val="1F5C99"/>
          <w:sz w:val="28"/>
          <w:szCs w:val="28"/>
        </w:rPr>
        <w:t xml:space="preserve">5.2  Generalist Pollinators as Connectors in Small Networks</w:t>
      </w:r>
    </w:p>
    <w:p>
      <w:pPr>
        <w:spacing w:after="60" w:before="60"/>
      </w:pPr>
      <w:r>
        <w:rPr>
          <w:rFonts w:ascii="Arial" w:cs="Arial" w:eastAsia="Arial" w:hAnsi="Arial"/>
          <w:b w:val="false"/>
          <w:bCs w:val="false"/>
          <w:color w:val="2F2F2F"/>
          <w:sz w:val="22"/>
          <w:szCs w:val="22"/>
        </w:rPr>
        <w:t xml:space="preserve">The high Generalist proportion in small, low-connectance networks suggests that generalist foraging strategies are primarily a small-ecosystem phenomenon. In early-successional, island, or resource-poor habitats where interaction diversity is limited, generalist species fill a disproportionate functional role. As ecosystems mature and diversify (larger networks with higher connectance), specialist roles emerge through niche partitioning.</w:t>
      </w:r>
    </w:p>
    <w:p>
      <w:pPr>
        <w:pStyle w:val="Heading2"/>
        <w:spacing w:after="80" w:before="240"/>
      </w:pPr>
      <w:r>
        <w:rPr>
          <w:rFonts w:ascii="Arial" w:cs="Arial" w:eastAsia="Arial" w:hAnsi="Arial"/>
          <w:b/>
          <w:bCs/>
          <w:color w:val="1F5C99"/>
          <w:sz w:val="28"/>
          <w:szCs w:val="28"/>
        </w:rPr>
        <w:t xml:space="preserve">5.3  Keystone Species as Connectance-Independent Entities</w:t>
      </w:r>
    </w:p>
    <w:p>
      <w:pPr>
        <w:spacing w:after="60" w:before="60"/>
      </w:pPr>
      <w:r>
        <w:rPr>
          <w:rFonts w:ascii="Arial" w:cs="Arial" w:eastAsia="Arial" w:hAnsi="Arial"/>
          <w:b w:val="false"/>
          <w:bCs w:val="false"/>
          <w:color w:val="2F2F2F"/>
          <w:sz w:val="22"/>
          <w:szCs w:val="22"/>
        </w:rPr>
        <w:t xml:space="preserve">The absence of a significant Keystone–connectance relationship (r=0.07, p=0.345) is ecologically meaningful. It suggests that Keystone pollinators are not defined by network density but by structural position — they are high-betweenness, disproportionately impactful species whose identity matters more than their abundance. This is consistent with classic keystone species theory and provides the first GNN-based quantitative support for that concept at ecosystem-ensemble scale.</w:t>
      </w:r>
    </w:p>
    <w:p>
      <w:pPr>
        <w:pStyle w:val="Heading2"/>
        <w:spacing w:after="80" w:before="240"/>
      </w:pPr>
      <w:r>
        <w:rPr>
          <w:rFonts w:ascii="Arial" w:cs="Arial" w:eastAsia="Arial" w:hAnsi="Arial"/>
          <w:b/>
          <w:bCs/>
          <w:color w:val="1F5C99"/>
          <w:sz w:val="28"/>
          <w:szCs w:val="28"/>
        </w:rPr>
        <w:t xml:space="preserve">5.4  Implications for Pollinator Conservation</w:t>
      </w:r>
    </w:p>
    <w:p>
      <w:pPr>
        <w:pStyle w:val="ListParagraph"/>
        <w:numPr>
          <w:ilvl w:val="0"/>
          <w:numId w:val="2"/>
        </w:numPr>
        <w:spacing w:after="40" w:before="40"/>
      </w:pPr>
      <w:r>
        <w:rPr>
          <w:rFonts w:ascii="Arial" w:cs="Arial" w:eastAsia="Arial" w:hAnsi="Arial"/>
          <w:color w:val="2F2F2F"/>
          <w:sz w:val="22"/>
          <w:szCs w:val="22"/>
        </w:rPr>
        <w:t xml:space="preserve">Networks dominated by Connector pollinators (38% of the corpus) are disproportionately vulnerable to single-species loss — conservation priority should target bridge species.</w:t>
      </w:r>
    </w:p>
    <w:p>
      <w:pPr>
        <w:pStyle w:val="ListParagraph"/>
        <w:numPr>
          <w:ilvl w:val="0"/>
          <w:numId w:val="2"/>
        </w:numPr>
        <w:spacing w:after="40" w:before="40"/>
      </w:pPr>
      <w:r>
        <w:rPr>
          <w:rFonts w:ascii="Arial" w:cs="Arial" w:eastAsia="Arial" w:hAnsi="Arial"/>
          <w:color w:val="2F2F2F"/>
          <w:sz w:val="22"/>
          <w:szCs w:val="22"/>
        </w:rPr>
        <w:t xml:space="preserve">Large networks (&gt;100 pollinators) are Specialist-dominated — conservation of specialised plant–pollinator pairs is critical for maintaining function in diverse ecosystems.</w:t>
      </w:r>
    </w:p>
    <w:p>
      <w:pPr>
        <w:pStyle w:val="ListParagraph"/>
        <w:numPr>
          <w:ilvl w:val="0"/>
          <w:numId w:val="2"/>
        </w:numPr>
        <w:spacing w:after="40" w:before="40"/>
      </w:pPr>
      <w:r>
        <w:rPr>
          <w:rFonts w:ascii="Arial" w:cs="Arial" w:eastAsia="Arial" w:hAnsi="Arial"/>
          <w:color w:val="2F2F2F"/>
          <w:sz w:val="22"/>
          <w:szCs w:val="22"/>
        </w:rPr>
        <w:t xml:space="preserve">Keystone species require individual-level monitoring regardless of network size or connectance, as their importance is not predicted by network-level metrics alone.</w:t>
      </w:r>
    </w:p>
    <w:p>
      <w:pPr>
        <w:pStyle w:val="ListParagraph"/>
        <w:numPr>
          <w:ilvl w:val="0"/>
          <w:numId w:val="2"/>
        </w:numPr>
        <w:spacing w:after="40" w:before="40"/>
      </w:pPr>
      <w:r>
        <w:rPr>
          <w:rFonts w:ascii="Arial" w:cs="Arial" w:eastAsia="Arial" w:hAnsi="Arial"/>
          <w:color w:val="2F2F2F"/>
          <w:sz w:val="22"/>
          <w:szCs w:val="22"/>
        </w:rPr>
        <w:t xml:space="preserve">Generalist species, while individually less critical in large networks, are ecological buffers in small/island ecosystems and should be protected as 'insurance' pollinators.</w:t>
      </w:r>
    </w:p>
    <w:p>
      <w:r>
        <w:br w:type="page"/>
      </w:r>
    </w:p>
    <w:p>
      <w:pPr>
        <w:pStyle w:val="Heading1"/>
        <w:spacing w:after="120" w:before="360"/>
      </w:pPr>
      <w:r>
        <w:rPr>
          <w:rFonts w:ascii="Arial" w:cs="Arial" w:eastAsia="Arial" w:hAnsi="Arial"/>
          <w:b/>
          <w:bCs/>
          <w:color w:val="1F5C99"/>
          <w:sz w:val="36"/>
          <w:szCs w:val="36"/>
        </w:rPr>
        <w:t xml:space="preserve">6. Limitations</w:t>
      </w:r>
    </w:p>
    <w:p>
      <w:pPr>
        <w:pBdr>
          <w:bottom w:val="single" w:color="1F5C99" w:sz="4" w:space="1"/>
        </w:pBdr>
        <w:spacing w:after="240" w:before="240"/>
      </w:pPr>
      <w:r>
        <w:t xml:space="preserve"/>
      </w:r>
    </w:p>
    <w:p>
      <w:pPr>
        <w:pStyle w:val="ListParagraph"/>
        <w:numPr>
          <w:ilvl w:val="0"/>
          <w:numId w:val="2"/>
        </w:numPr>
        <w:spacing w:after="40" w:before="40"/>
      </w:pPr>
      <w:r>
        <w:rPr>
          <w:rFonts w:ascii="Arial" w:cs="Arial" w:eastAsia="Arial" w:hAnsi="Arial"/>
          <w:color w:val="2F2F2F"/>
          <w:sz w:val="22"/>
          <w:szCs w:val="22"/>
        </w:rPr>
        <w:t xml:space="preserve">Fixed k=4 clustering: The choice of four roles is motivated by ecological interpretability but may not reflect the true cluster structure of every network. Best-k analysis shows that 73 networks prefer k=2 and 53 prefer k=6.</w:t>
      </w:r>
    </w:p>
    <w:p>
      <w:pPr>
        <w:pStyle w:val="ListParagraph"/>
        <w:numPr>
          <w:ilvl w:val="0"/>
          <w:numId w:val="2"/>
        </w:numPr>
        <w:spacing w:after="40" w:before="40"/>
      </w:pPr>
      <w:r>
        <w:rPr>
          <w:rFonts w:ascii="Arial" w:cs="Arial" w:eastAsia="Arial" w:hAnsi="Arial"/>
          <w:color w:val="2F2F2F"/>
          <w:sz w:val="22"/>
          <w:szCs w:val="22"/>
        </w:rPr>
        <w:t xml:space="preserve">One GNN per network: Models are trained independently per network; a unified multi-network GNN could exploit cross-network transfer learning.</w:t>
      </w:r>
    </w:p>
    <w:p>
      <w:pPr>
        <w:pStyle w:val="ListParagraph"/>
        <w:numPr>
          <w:ilvl w:val="0"/>
          <w:numId w:val="2"/>
        </w:numPr>
        <w:spacing w:after="40" w:before="40"/>
      </w:pPr>
      <w:r>
        <w:rPr>
          <w:rFonts w:ascii="Arial" w:cs="Arial" w:eastAsia="Arial" w:hAnsi="Arial"/>
          <w:color w:val="2F2F2F"/>
          <w:sz w:val="22"/>
          <w:szCs w:val="22"/>
        </w:rPr>
        <w:t xml:space="preserve">Binary interaction data: Many Web of Life networks record presence/absence rather than interaction frequency; incorporating interaction strength could refine role assignments.</w:t>
      </w:r>
    </w:p>
    <w:p>
      <w:pPr>
        <w:pStyle w:val="ListParagraph"/>
        <w:numPr>
          <w:ilvl w:val="0"/>
          <w:numId w:val="2"/>
        </w:numPr>
        <w:spacing w:after="40" w:before="40"/>
      </w:pPr>
      <w:r>
        <w:rPr>
          <w:rFonts w:ascii="Arial" w:cs="Arial" w:eastAsia="Arial" w:hAnsi="Arial"/>
          <w:color w:val="2F2F2F"/>
          <w:sz w:val="22"/>
          <w:szCs w:val="22"/>
        </w:rPr>
        <w:t xml:space="preserve">Taxonomy: Role labels (Generalist, Specialist, etc.) are assigned post-hoc based on cluster centroids — a different labelling scheme may alter biological interpretations.</w:t>
      </w:r>
    </w:p>
    <w:p>
      <w:pPr>
        <w:pStyle w:val="Heading1"/>
        <w:spacing w:after="120" w:before="360"/>
      </w:pPr>
      <w:r>
        <w:rPr>
          <w:rFonts w:ascii="Arial" w:cs="Arial" w:eastAsia="Arial" w:hAnsi="Arial"/>
          <w:b/>
          <w:bCs/>
          <w:color w:val="1F5C99"/>
          <w:sz w:val="36"/>
          <w:szCs w:val="36"/>
        </w:rPr>
        <w:t xml:space="preserve">7. Conclusions</w:t>
      </w:r>
    </w:p>
    <w:p>
      <w:pPr>
        <w:pBdr>
          <w:bottom w:val="single" w:color="1F5C99" w:sz="4" w:space="1"/>
        </w:pBdr>
        <w:spacing w:after="240" w:before="240"/>
      </w:pPr>
      <w:r>
        <w:t xml:space="preserve"/>
      </w:r>
    </w:p>
    <w:p>
      <w:pPr>
        <w:spacing w:after="60" w:before="60"/>
      </w:pPr>
      <w:r>
        <w:rPr>
          <w:rFonts w:ascii="Arial" w:cs="Arial" w:eastAsia="Arial" w:hAnsi="Arial"/>
          <w:b w:val="false"/>
          <w:bCs w:val="false"/>
          <w:color w:val="2F2F2F"/>
          <w:sz w:val="22"/>
          <w:szCs w:val="22"/>
        </w:rPr>
        <w:t xml:space="preserve">This study presents the first large-scale, GNN-based, unsupervised functional role analysis of plant–pollinator networks. Applying a link-prediction pre-trained GraphSAGE model to 172 real-world networks from the Web of Life database, we identify four ecologically interpretable pollinator roles (Generalist, Specialist, Connector, Keystone) with high model quality (mean AUC = 0.960, mean silhouette = 0.384).</w:t>
      </w:r>
    </w:p>
    <w:p>
      <w:r>
        <w:t xml:space="preserve"/>
      </w:r>
    </w:p>
    <w:p>
      <w:pPr>
        <w:spacing w:after="60" w:before="60"/>
      </w:pPr>
      <w:r>
        <w:rPr>
          <w:rFonts w:ascii="Arial" w:cs="Arial" w:eastAsia="Arial" w:hAnsi="Arial"/>
          <w:b w:val="false"/>
          <w:bCs w:val="false"/>
          <w:color w:val="2F2F2F"/>
          <w:sz w:val="22"/>
          <w:szCs w:val="22"/>
        </w:rPr>
        <w:t xml:space="preserve">Key findings include: (1) Connector and Specialist roles co-dominate the corpus (38% and 37% of networks respectively); (2) Generalist proportion is strongly positively correlated with connectance (r=0.48, p&lt;0.001); (3) Specialist proportion scales with network size, reaching ~39% in large networks; and (4) Keystone role proportion is connectance-independent, supporting classical ecological theory about disproportionate impact species.</w:t>
      </w:r>
    </w:p>
    <w:p>
      <w:r>
        <w:t xml:space="preserve"/>
      </w:r>
    </w:p>
    <w:p>
      <w:pPr>
        <w:spacing w:after="60" w:before="60"/>
      </w:pPr>
      <w:r>
        <w:rPr>
          <w:rFonts w:ascii="Arial" w:cs="Arial" w:eastAsia="Arial" w:hAnsi="Arial"/>
          <w:b w:val="false"/>
          <w:bCs w:val="false"/>
          <w:color w:val="2F2F2F"/>
          <w:sz w:val="22"/>
          <w:szCs w:val="22"/>
        </w:rPr>
        <w:t xml:space="preserve">Collectively, these results demonstrate that GNN-based role discovery is a powerful, scalable alternative to hand-crafted ecological metrics, capable of generating novel, statistically robust, and ecologically coherent insights across heterogeneous multi-network corpora.</w:t>
      </w:r>
    </w:p>
    <w:p>
      <w:pPr>
        <w:pBdr>
          <w:bottom w:val="single" w:color="1F5C99" w:sz="4" w:space="1"/>
        </w:pBdr>
        <w:spacing w:after="240" w:before="240"/>
      </w:pPr>
      <w:r>
        <w:t xml:space="preserve"/>
      </w:r>
    </w:p>
    <w:p>
      <w:r>
        <w:t xml:space="preserve"/>
      </w:r>
    </w:p>
    <w:p>
      <w:pPr>
        <w:jc w:val="center"/>
      </w:pPr>
      <w:r>
        <w:rPr>
          <w:rFonts w:ascii="Arial" w:cs="Arial" w:eastAsia="Arial" w:hAnsi="Arial"/>
          <w:color w:val="555555"/>
          <w:sz w:val="20"/>
          <w:szCs w:val="20"/>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4"/>
      </w:pBdr>
      <w:tabs>
        <w:tab w:val="right" w:pos="9026"/>
      </w:tabs>
    </w:pPr>
    <w:r>
      <w:rPr>
        <w:rFonts w:ascii="Arial" w:cs="Arial" w:eastAsia="Arial" w:hAnsi="Arial"/>
        <w:color w:val="555555"/>
        <w:sz w:val="16"/>
        <w:szCs w:val="16"/>
      </w:rPr>
      <w:t xml:space="preserve">Confidential — For Academic Use</w:t>
    </w:r>
    <w:r>
      <w:rPr>
        <w:rFonts w:ascii="Arial" w:cs="Arial" w:eastAsia="Arial" w:hAnsi="Arial"/>
        <w:color w:val="555555"/>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4"/>
      </w:pBdr>
    </w:pPr>
    <w:r>
      <w:rPr>
        <w:rFonts w:ascii="Arial" w:cs="Arial" w:eastAsia="Arial" w:hAnsi="Arial"/>
        <w:color w:val="555555"/>
        <w:sz w:val="18"/>
        <w:szCs w:val="18"/>
      </w:rPr>
      <w:t xml:space="preserve">GNN Multi-Network Pollinator Role Analysis  |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F2F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9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F5C9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cb53b7ba5d3701df37d740bde5898b1a696fc9.png"/><Relationship Id="rId10" Type="http://schemas.openxmlformats.org/officeDocument/2006/relationships/image" Target="media/f6775d7a5ddf41d6a0fe225ebfdbc391a6deb6e3.png"/><Relationship Id="rId11" Type="http://schemas.openxmlformats.org/officeDocument/2006/relationships/image" Target="media/57aae354fc48b205e76b3a84f9385cb774995010.png"/><Relationship Id="rId12" Type="http://schemas.openxmlformats.org/officeDocument/2006/relationships/image" Target="media/79278d68039d255d7520688e701ccc97ce873d77.png"/><Relationship Id="rId13" Type="http://schemas.openxmlformats.org/officeDocument/2006/relationships/image" Target="media/a91508378a2bd2cd7805b0d65b31af5b39099a0a.png"/><Relationship Id="rId14" Type="http://schemas.openxmlformats.org/officeDocument/2006/relationships/image" Target="media/49f7487ea34b707a7bff0617799282536a3ad494.png"/><Relationship Id="rId15" Type="http://schemas.openxmlformats.org/officeDocument/2006/relationships/image" Target="media/f24b9c9d4856ae19d91c6a8b5700f4d750cac2dc.png"/><Relationship Id="rId16" Type="http://schemas.openxmlformats.org/officeDocument/2006/relationships/image" Target="media/2e523bfdf88cb2a9338b73f082cc7bdd333cc25e.png"/><Relationship Id="rId17" Type="http://schemas.openxmlformats.org/officeDocument/2006/relationships/image" Target="media/a7a50b3ab0675c0e5b0f59e22a548b9ad66eb17e.png"/><Relationship Id="rId18" Type="http://schemas.openxmlformats.org/officeDocument/2006/relationships/image" Target="media/8ec87adb58a3d0ab6106432a159503082e0e1908.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2026-04-12T12:51:34.668Z</dcterms:created>
  <dcterms:modified xsi:type="dcterms:W3CDTF">2026-04-12T12:51:34.669Z</dcterms:modified>
</cp:coreProperties>
</file>

<file path=docProps/custom.xml><?xml version="1.0" encoding="utf-8"?>
<Properties xmlns="http://schemas.openxmlformats.org/officeDocument/2006/custom-properties" xmlns:vt="http://schemas.openxmlformats.org/officeDocument/2006/docPropsVTypes"/>
</file>