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Next Career After Fauj</w:t>
      </w:r>
    </w:p>
    <w:p>
      <w:pPr>
        <w:spacing w:after="100"/>
        <w:jc w:val="center"/>
      </w:pPr>
      <w:r>
        <w:rPr>
          <w:i/>
          <w:iCs/>
          <w:color w:val="555555"/>
        </w:rPr>
        <w:t xml:space="preserve">App Modules — Listed in Sequence</w:t>
      </w:r>
    </w:p>
    <w:p>
      <w:pPr>
        <w:spacing w:after="400"/>
        <w:jc w:val="center"/>
      </w:pPr>
      <w:r>
        <w:rPr>
          <w:i/>
          <w:iCs/>
          <w:color w:val="777777"/>
          <w:sz w:val="18"/>
          <w:szCs w:val="18"/>
        </w:rPr>
        <w:t xml:space="preserve">Sequenced as an officer's transition journey, from orientation through the first 90 days on the job.</w:t>
      </w:r>
    </w:p>
    <w:p>
      <w:pPr>
        <w:pStyle w:val="Heading2"/>
        <w:spacing w:after="120" w:before="300"/>
      </w:pPr>
      <w:r>
        <w:rPr>
          <w:color w:val="2E5F8A"/>
        </w:rPr>
        <w:t xml:space="preserve">Phase 1 — Orientation</w:t>
      </w:r>
    </w:p>
    <w:p>
      <w:pPr>
        <w:spacing w:after="140"/>
        <w:ind w:left="360"/>
      </w:pPr>
      <w:r>
        <w:rPr>
          <w:b/>
          <w:bCs/>
        </w:rPr>
        <w:t xml:space="preserve">1. </w:t>
      </w:r>
      <w:r>
        <w:t xml:space="preserve">My Transition Plan</w:t>
      </w:r>
    </w:p>
    <w:p>
      <w:pPr>
        <w:spacing w:after="140"/>
        <w:ind w:left="360"/>
      </w:pPr>
      <w:r>
        <w:rPr>
          <w:b/>
          <w:bCs/>
        </w:rPr>
        <w:t xml:space="preserve">2. </w:t>
      </w:r>
      <w:r>
        <w:t xml:space="preserve">Career Paths</w:t>
      </w:r>
    </w:p>
    <w:p>
      <w:pPr>
        <w:spacing w:after="140"/>
        <w:ind w:left="360"/>
      </w:pPr>
      <w:r>
        <w:rPr>
          <w:b/>
          <w:bCs/>
        </w:rPr>
        <w:t xml:space="preserve">3. </w:t>
      </w:r>
      <w:r>
        <w:t xml:space="preserve">Career Vertical Handbook</w:t>
      </w:r>
    </w:p>
    <w:p>
      <w:pPr>
        <w:spacing w:after="140"/>
        <w:ind w:left="360"/>
      </w:pPr>
      <w:r>
        <w:rPr>
          <w:b/>
          <w:bCs/>
        </w:rPr>
        <w:t xml:space="preserve">4. </w:t>
      </w:r>
      <w:r>
        <w:t xml:space="preserve">Corps/Arm/Branch Fit Matrix</w:t>
      </w:r>
    </w:p>
    <w:p>
      <w:pPr>
        <w:pStyle w:val="Heading2"/>
        <w:spacing w:after="120" w:before="300"/>
      </w:pPr>
      <w:r>
        <w:rPr>
          <w:color w:val="2E5F8A"/>
        </w:rPr>
        <w:t xml:space="preserve">Phase 2 — Self-Assessment, CV Refinement &amp; Gap Analysis</w:t>
      </w:r>
    </w:p>
    <w:p>
      <w:pPr>
        <w:spacing w:after="140"/>
        <w:ind w:left="360"/>
      </w:pPr>
      <w:r>
        <w:rPr>
          <w:b/>
          <w:bCs/>
        </w:rPr>
        <w:t xml:space="preserve">5. </w:t>
      </w:r>
      <w:r>
        <w:t xml:space="preserve">Transition Readiness Index</w:t>
      </w:r>
    </w:p>
    <w:p>
      <w:pPr>
        <w:spacing w:after="140"/>
        <w:ind w:left="360"/>
      </w:pPr>
      <w:r>
        <w:rPr>
          <w:b/>
          <w:bCs/>
        </w:rPr>
        <w:t xml:space="preserve">6. </w:t>
      </w:r>
      <w:r>
        <w:t xml:space="preserve">AI Readiness</w:t>
      </w:r>
    </w:p>
    <w:p>
      <w:pPr>
        <w:spacing w:after="140"/>
        <w:ind w:left="360"/>
      </w:pPr>
      <w:r>
        <w:rPr>
          <w:b/>
          <w:bCs/>
        </w:rPr>
        <w:t xml:space="preserve">7. </w:t>
      </w:r>
      <w:r>
        <w:t xml:space="preserve">Career Vertical Fit</w:t>
      </w:r>
    </w:p>
    <w:p>
      <w:pPr>
        <w:spacing w:after="140"/>
        <w:ind w:left="360"/>
      </w:pPr>
      <w:r>
        <w:rPr>
          <w:b/>
          <w:bCs/>
        </w:rPr>
        <w:t xml:space="preserve">8. </w:t>
      </w:r>
      <w:r>
        <w:t xml:space="preserve">Target Role Strategy</w:t>
      </w:r>
    </w:p>
    <w:p>
      <w:pPr>
        <w:spacing w:after="140"/>
        <w:ind w:left="360"/>
      </w:pPr>
      <w:r>
        <w:rPr>
          <w:b/>
          <w:bCs/>
        </w:rPr>
        <w:t xml:space="preserve">9. </w:t>
      </w:r>
      <w:r>
        <w:t xml:space="preserve">Base CV, Civilianized</w:t>
      </w:r>
    </w:p>
    <w:p>
      <w:pPr>
        <w:spacing w:after="140"/>
        <w:ind w:left="360"/>
      </w:pPr>
      <w:r>
        <w:rPr>
          <w:b/>
          <w:bCs/>
        </w:rPr>
        <w:t xml:space="preserve">10. </w:t>
      </w:r>
      <w:r>
        <w:t xml:space="preserve">Build My Civilian CV</w:t>
      </w:r>
    </w:p>
    <w:p>
      <w:pPr>
        <w:spacing w:after="140"/>
        <w:ind w:left="360"/>
      </w:pPr>
      <w:r>
        <w:rPr>
          <w:b/>
          <w:bCs/>
        </w:rPr>
        <w:t xml:space="preserve">11. </w:t>
      </w:r>
      <w:r>
        <w:t xml:space="preserve">CV Writing Guide &amp; Templates</w:t>
      </w:r>
    </w:p>
    <w:p>
      <w:pPr>
        <w:spacing w:after="140"/>
        <w:ind w:left="360"/>
      </w:pPr>
      <w:r>
        <w:rPr>
          <w:b/>
          <w:bCs/>
        </w:rPr>
        <w:t xml:space="preserve">12. </w:t>
      </w:r>
      <w:r>
        <w:t xml:space="preserve">Sample CV Library</w:t>
      </w:r>
    </w:p>
    <w:p>
      <w:pPr>
        <w:spacing w:after="140"/>
        <w:ind w:left="360"/>
      </w:pPr>
      <w:r>
        <w:rPr>
          <w:b/>
          <w:bCs/>
        </w:rPr>
        <w:t xml:space="preserve">13. </w:t>
      </w:r>
      <w:r>
        <w:t xml:space="preserve">JD Match</w:t>
      </w:r>
    </w:p>
    <w:p>
      <w:pPr>
        <w:spacing w:after="140"/>
        <w:ind w:left="360"/>
      </w:pPr>
      <w:r>
        <w:rPr>
          <w:b/>
          <w:bCs/>
        </w:rPr>
        <w:t xml:space="preserve">14. </w:t>
      </w:r>
      <w:r>
        <w:t xml:space="preserve">Refined CV</w:t>
      </w:r>
    </w:p>
    <w:p>
      <w:pPr>
        <w:spacing w:after="140"/>
        <w:ind w:left="360"/>
      </w:pPr>
      <w:r>
        <w:rPr>
          <w:b/>
          <w:bCs/>
        </w:rPr>
        <w:t xml:space="preserve">15. </w:t>
      </w:r>
      <w:r>
        <w:t xml:space="preserve">Gap Roadmap</w:t>
      </w:r>
    </w:p>
    <w:p>
      <w:pPr>
        <w:spacing w:after="140"/>
        <w:ind w:left="360"/>
      </w:pPr>
      <w:r>
        <w:rPr>
          <w:b/>
          <w:bCs/>
        </w:rPr>
        <w:t xml:space="preserve">16. </w:t>
      </w:r>
      <w:r>
        <w:t xml:space="preserve">Corporate Language Guide</w:t>
      </w:r>
    </w:p>
    <w:p>
      <w:pPr>
        <w:spacing w:after="140"/>
        <w:ind w:left="360"/>
      </w:pPr>
      <w:r>
        <w:rPr>
          <w:b/>
          <w:bCs/>
        </w:rPr>
        <w:t xml:space="preserve">17. </w:t>
      </w:r>
      <w:r>
        <w:rPr>
          <w:b/>
          <w:bCs/>
          <w:highlight w:val="yellow"/>
        </w:rPr>
        <w:t xml:space="preserve">Military Experience &amp; Skill Equivalency</w:t>
      </w:r>
    </w:p>
    <w:p>
      <w:pPr>
        <w:spacing w:after="140"/>
        <w:ind w:left="360"/>
      </w:pPr>
      <w:r>
        <w:rPr>
          <w:b/>
          <w:bCs/>
        </w:rPr>
        <w:t xml:space="preserve">18. </w:t>
      </w:r>
      <w:r>
        <w:t xml:space="preserve">Corporate Transition - Reading Programme</w:t>
      </w:r>
    </w:p>
    <w:p>
      <w:pPr>
        <w:spacing w:after="140"/>
        <w:ind w:left="360"/>
      </w:pPr>
      <w:r>
        <w:rPr>
          <w:b/>
          <w:bCs/>
        </w:rPr>
        <w:t xml:space="preserve">19. </w:t>
      </w:r>
      <w:r>
        <w:t xml:space="preserve">Learning Resources Library</w:t>
      </w:r>
    </w:p>
    <w:p>
      <w:pPr>
        <w:pStyle w:val="Heading2"/>
        <w:spacing w:after="120" w:before="300"/>
      </w:pPr>
      <w:r>
        <w:rPr>
          <w:color w:val="2E5F8A"/>
        </w:rPr>
        <w:t xml:space="preserve">Phase 3 — Active Job Search</w:t>
      </w:r>
    </w:p>
    <w:p>
      <w:pPr>
        <w:spacing w:after="140"/>
        <w:ind w:left="360"/>
      </w:pPr>
      <w:r>
        <w:rPr>
          <w:b/>
          <w:bCs/>
        </w:rPr>
        <w:t xml:space="preserve">20. </w:t>
      </w:r>
      <w:r>
        <w:t xml:space="preserve">Job Matches</w:t>
      </w:r>
    </w:p>
    <w:p>
      <w:pPr>
        <w:spacing w:after="140"/>
        <w:ind w:left="360"/>
      </w:pPr>
      <w:r>
        <w:rPr>
          <w:b/>
          <w:bCs/>
        </w:rPr>
        <w:t xml:space="preserve">21. </w:t>
      </w:r>
      <w:r>
        <w:t xml:space="preserve">Application Tracker</w:t>
      </w:r>
    </w:p>
    <w:p>
      <w:pPr>
        <w:spacing w:after="140"/>
        <w:ind w:left="360"/>
      </w:pPr>
      <w:r>
        <w:rPr>
          <w:b/>
          <w:bCs/>
        </w:rPr>
        <w:t xml:space="preserve">22. </w:t>
      </w:r>
      <w:r>
        <w:t xml:space="preserve">Future Mentor Sign Up</w:t>
      </w:r>
    </w:p>
    <w:p>
      <w:pPr>
        <w:spacing w:after="140"/>
        <w:ind w:left="360"/>
      </w:pPr>
      <w:r>
        <w:rPr>
          <w:b/>
          <w:bCs/>
        </w:rPr>
        <w:t xml:space="preserve">23. </w:t>
      </w:r>
      <w:r>
        <w:t xml:space="preserve">LinkedIn Write-up</w:t>
      </w:r>
    </w:p>
    <w:p>
      <w:pPr>
        <w:pStyle w:val="Heading2"/>
        <w:spacing w:after="120" w:before="300"/>
      </w:pPr>
      <w:r>
        <w:rPr>
          <w:color w:val="2E5F8A"/>
        </w:rPr>
        <w:t xml:space="preserve">Phase 4 — Interview, Compensation &amp; Landing</w:t>
      </w:r>
    </w:p>
    <w:p>
      <w:pPr>
        <w:spacing w:after="140"/>
        <w:ind w:left="360"/>
      </w:pPr>
      <w:r>
        <w:rPr>
          <w:b/>
          <w:bCs/>
        </w:rPr>
        <w:t xml:space="preserve">24. </w:t>
      </w:r>
      <w:r>
        <w:t xml:space="preserve">Interview Prep</w:t>
      </w:r>
    </w:p>
    <w:p>
      <w:pPr>
        <w:spacing w:after="140"/>
        <w:ind w:left="360"/>
      </w:pPr>
      <w:r>
        <w:rPr>
          <w:b/>
          <w:bCs/>
        </w:rPr>
        <w:t xml:space="preserve">25. </w:t>
      </w:r>
      <w:r>
        <w:t xml:space="preserve">Corporate Culture &amp; Work Environment</w:t>
      </w:r>
    </w:p>
    <w:p>
      <w:pPr>
        <w:spacing w:after="140"/>
        <w:ind w:left="360"/>
      </w:pPr>
      <w:r>
        <w:rPr>
          <w:b/>
          <w:bCs/>
        </w:rPr>
        <w:t xml:space="preserve">26. </w:t>
      </w:r>
      <w:r>
        <w:t xml:space="preserve">Business Etiquette &amp; Professional Conduct</w:t>
      </w:r>
    </w:p>
    <w:p>
      <w:pPr>
        <w:spacing w:after="140"/>
        <w:ind w:left="360"/>
      </w:pPr>
      <w:r>
        <w:rPr>
          <w:b/>
          <w:bCs/>
        </w:rPr>
        <w:t xml:space="preserve">27. </w:t>
      </w:r>
      <w:r>
        <w:t xml:space="preserve">Compensation Guidance</w:t>
      </w:r>
    </w:p>
    <w:p>
      <w:pPr>
        <w:spacing w:after="140"/>
        <w:ind w:left="360"/>
      </w:pPr>
      <w:r>
        <w:rPr>
          <w:b/>
          <w:bCs/>
        </w:rPr>
        <w:t xml:space="preserve">28. </w:t>
      </w:r>
      <w:r>
        <w:t xml:space="preserve">Financial &amp; Cost-of-Living Calculator</w:t>
      </w:r>
    </w:p>
    <w:p>
      <w:pPr>
        <w:spacing w:after="140"/>
        <w:ind w:left="360"/>
      </w:pPr>
      <w:r>
        <w:rPr>
          <w:b/>
          <w:bCs/>
        </w:rPr>
        <w:t xml:space="preserve">29. </w:t>
      </w:r>
      <w:r>
        <w:t xml:space="preserve">Your First 90 Days</w:t>
      </w:r>
    </w:p>
    <w:p>
      <w:pPr>
        <w:spacing w:after="140" w:before="200"/>
      </w:pPr>
      <w:r>
        <w:rPr>
          <w:i/>
          <w:iCs/>
          <w:color w:val="555555"/>
        </w:rPr>
        <w:t xml:space="preserve">Also available on every screen, not part of the phase sequence above: AI Assistant — a floating assistant button, always reachable.</w:t>
      </w:r>
    </w:p>
    <w:p>
      <w:pPr>
        <w:spacing w:before="300"/>
      </w:pPr>
      <w:r>
        <w:rPr>
          <w:b/>
          <w:bCs/>
          <w:color w:val="555555"/>
        </w:rPr>
        <w:t xml:space="preserve">Total modules: 30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2026-09-05T16:10:56.575Z</dcterms:created>
  <dcterms:modified xsi:type="dcterms:W3CDTF">2026-09-05T16:10:56.579Z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