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policy-manual"/>
    <w:p>
      <w:pPr>
        <w:pStyle w:val="Heading1"/>
      </w:pPr>
      <w:r>
        <w:t xml:space="preserve">Policy Manual</w:t>
      </w:r>
    </w:p>
    <w:bookmarkEnd w:id="21"/>
    <w:p>
      <w:r>
        <w:t xml:space="preserve">Last Updated: April 28, 2015</w:t>
      </w:r>
    </w:p>
    <w:bookmarkStart w:id="22" w:name="our-mission"/>
    <w:p>
      <w:pPr>
        <w:pStyle w:val="Heading2"/>
      </w:pPr>
      <w:r>
        <w:t xml:space="preserve">Our Mission</w:t>
      </w:r>
    </w:p>
    <w:bookmarkEnd w:id="22"/>
    <w:p>
      <w:r>
        <w:t xml:space="preserve">We open up laws, legislation, and the lawmaking process online so that as many people as possible can see, understand, and shape the policies that affect their lives.</w:t>
      </w:r>
    </w:p>
    <w:bookmarkStart w:id="23" w:name="vision"/>
    <w:p>
      <w:pPr>
        <w:pStyle w:val="Heading2"/>
      </w:pPr>
      <w:r>
        <w:t xml:space="preserve">Vision</w:t>
      </w:r>
    </w:p>
    <w:bookmarkEnd w:id="23"/>
    <w:p>
      <w:r>
        <w:t xml:space="preserve">The OpenGov Foundation is building a 21st century democracy by bridging the gap between citizens and government.</w:t>
      </w:r>
    </w:p>
    <w:p>
      <w:r>
        <w:t xml:space="preserve">Everything we create is open source, free for anyone to take and use.</w:t>
      </w:r>
    </w:p>
    <w:p>
      <w:r>
        <w:t xml:space="preserve">We're building a national network of people like us and the Free Law Founders—to share resources and expertise around solving shared challenges in modernizing the lawmaking process.</w:t>
      </w:r>
    </w:p>
    <w:bookmarkStart w:id="24" w:name="culture-compliance"/>
    <w:p>
      <w:pPr>
        <w:pStyle w:val="Heading2"/>
      </w:pPr>
      <w:r>
        <w:t xml:space="preserve">Culture &amp; Compliance</w:t>
      </w:r>
    </w:p>
    <w:bookmarkEnd w:id="24"/>
    <w:bookmarkStart w:id="25" w:name="equal-employment-opportunity-disclosure-compliance-with-the-americans-with-disabilities-act-ada"/>
    <w:p>
      <w:pPr>
        <w:pStyle w:val="Heading3"/>
      </w:pPr>
      <w:r>
        <w:t xml:space="preserve">Equal Employment Opportunity Disclosure &amp; Compliance with the Americans with Disabilities Act (ADA)</w:t>
      </w:r>
    </w:p>
    <w:bookmarkEnd w:id="25"/>
    <w:p>
      <w:r>
        <w:t xml:space="preserve">The OpenGov Foundation is committed to equal employment opportunity. We will not discriminate against employees or applicants for employment on any legally recognized basis including, but not limited to race, religion, color, sex (with or without sexual conduct and including pregnancy and sexual orientation involving transgender status/gender identity, and sex-stereotyping), national origin, age, disability (physical or mental), genetic information, sexual orientation, or any other protected class under federal, state or local law,</w:t>
      </w:r>
      <w:r>
        <w:t xml:space="preserve"> </w:t>
      </w:r>
      <w:r>
        <w:rPr>
          <w:i/>
        </w:rPr>
        <w:t xml:space="preserve">as well as</w:t>
      </w:r>
      <w:r>
        <w:t xml:space="preserve"> </w:t>
      </w:r>
      <w:r>
        <w:t xml:space="preserve">gender identity, parental status, marital status, political affiliation, gender expression, mental illness, socioeconomic status or background, neuro(a)typicality, physical appearance, body size, or clothing. We are committed to providing equal employment opportunities to qualified individuals with disabilities. This may include providing reasonable accommodation where appropriate in order for an otherwise qualified individual to perform the essential functions of the job.</w:t>
      </w:r>
    </w:p>
    <w:bookmarkStart w:id="26" w:name="harassment-bullying-violence-in-the-workplace-policy"/>
    <w:p>
      <w:pPr>
        <w:pStyle w:val="Heading3"/>
      </w:pPr>
      <w:r>
        <w:t xml:space="preserve">Harassment, Bullying, Violence in the Workplace Policy</w:t>
      </w:r>
    </w:p>
    <w:bookmarkEnd w:id="26"/>
    <w:p>
      <w:r>
        <w:t xml:space="preserve">We prohibit harassment of one employee by another employee, supervisor or third party for any reason based on a protected class including but not limited to: veteran status, uniform member status, race, color, religion, sex, national origin, sexual orientation, physical or mental disability genetic information or any other protected class under federal, state or local law,</w:t>
      </w:r>
      <w:r>
        <w:t xml:space="preserve"> </w:t>
      </w:r>
      <w:r>
        <w:rPr>
          <w:i/>
        </w:rPr>
        <w:t xml:space="preserve">as well as</w:t>
      </w:r>
      <w:r>
        <w:t xml:space="preserve"> </w:t>
      </w:r>
      <w:r>
        <w:t xml:space="preserve">gender identity, parental status, marital status, political affiliation, gender expression, mental illness, socioeconomic status or background, neuro(a)typicality, physical appearance, body size, or clothing. Harassment of third parties by our employees is also prohibited.</w:t>
      </w:r>
    </w:p>
    <w:p>
      <w:r>
        <w:t xml:space="preserve">The following are considered a protected class: race; religious creed; color; national origin; ancestry; physical disability; mental disability; medical condition, including genetic characteristics; marital status; sex; pregnancy, childbirth or related medical conditions; actual or perceived gender; gender identity; sexual orientation; civil air patrol membership; service in the military forces and age (40 or over). Included in the definition of each protected category is the perception of membership in a protected category and an individual's association with an actual or perceived member of a protected category.</w:t>
      </w:r>
    </w:p>
    <w:p>
      <w:r>
        <w:t xml:space="preserve">The purpose of this policy is not to regulate the personal morality of employees. It is to ensure that in the workplace, no employee harasses another for any reason or in any manner. The conduct prohibited by this policy includes conduct in any form including but not limited to e-mail, voice mail, chat rooms, social networking, internet use or history, text messages, pictures, images, writings, words or gestures.</w:t>
      </w:r>
    </w:p>
    <w:p>
      <w:r>
        <w:t xml:space="preserve">While it is not easy to define precisely what harassment is, it includes: slurs, epithets, threats, derogatory comments or visual depictions, unwelcome jokes and teasing. For reasonable guidelines on harassment and boundaries, please read</w:t>
      </w:r>
      <w:r>
        <w:t xml:space="preserve"> </w:t>
      </w:r>
      <w:hyperlink r:id="rId27">
        <w:r>
          <w:rPr>
            <w:rStyle w:val="Link"/>
          </w:rPr>
          <w:t xml:space="preserve">18F's Code of Conduct</w:t>
        </w:r>
      </w:hyperlink>
      <w:r>
        <w:t xml:space="preserve"> </w:t>
      </w:r>
      <w:r>
        <w:t xml:space="preserve">and</w:t>
      </w:r>
      <w:r>
        <w:t xml:space="preserve"> </w:t>
      </w:r>
      <w:hyperlink r:id="rId28">
        <w:r>
          <w:rPr>
            <w:rStyle w:val="Link"/>
          </w:rPr>
          <w:t xml:space="preserve">GSA's Policy on Harassment</w:t>
        </w:r>
      </w:hyperlink>
      <w:r>
        <w:t xml:space="preserve">.</w:t>
      </w:r>
    </w:p>
    <w:p>
      <w:r>
        <w:t xml:space="preserve">Any employee who believes that (s)he has been harassed should report the situation immediately to one of the following members of management: Executive Director, Treasurer or Chairman of the Board of Directors. If an employee makes a report to any of these members of management and the manager either does not respond or does not respond in a manner the employee deems satisfactory or consistent with this policy, the employee is required to report the situation to one of the other members of management designated in this policy to receive complaints.</w:t>
      </w:r>
    </w:p>
    <w:p>
      <w:r>
        <w:t xml:space="preserve">The company will investigate all such reports as confidentially as possible. Adverse action will not be taken against an employee because he or she, in good faith, reports or participates in the investigation of a violation of this policy. Violations of this policy are not permitted and may result in disciplinary action, up to and including discharge.</w:t>
      </w:r>
    </w:p>
    <w:bookmarkStart w:id="29" w:name="drug-alcohol-free-workplace-statement"/>
    <w:p>
      <w:pPr>
        <w:pStyle w:val="Heading3"/>
      </w:pPr>
      <w:r>
        <w:t xml:space="preserve">Drug &amp; Alcohol-Free Workplace Statement</w:t>
      </w:r>
    </w:p>
    <w:bookmarkEnd w:id="29"/>
    <w:p>
      <w:r>
        <w:t xml:space="preserve">The unlawful or improper presence or use of controlled substances or alcohol in the workplace presents a danger to all employees. Employees are prohibited from reporting to work or working while using illegal or unauthorized substances.</w:t>
      </w:r>
    </w:p>
    <w:bookmarkStart w:id="30" w:name="conflict-of-interest"/>
    <w:p>
      <w:pPr>
        <w:pStyle w:val="Heading3"/>
      </w:pPr>
      <w:r>
        <w:t xml:space="preserve">Conflict of Interest</w:t>
      </w:r>
    </w:p>
    <w:bookmarkEnd w:id="30"/>
    <w:p>
      <w:r>
        <w:t xml:space="preserve">A company's reputation for integrity is its most valuable asset and is directly related to the conduct of its employees. Therefore, employees must never use their positions with the company for private gain, to advance personal interests or to obtain favors or benefits for themselves, member of their families or any other individuals, corporations of business entities.</w:t>
      </w:r>
    </w:p>
    <w:bookmarkStart w:id="31" w:name="professional-conduct"/>
    <w:p>
      <w:pPr>
        <w:pStyle w:val="Heading3"/>
      </w:pPr>
      <w:r>
        <w:t xml:space="preserve">Professional Conduct</w:t>
      </w:r>
    </w:p>
    <w:bookmarkEnd w:id="31"/>
    <w:p>
      <w:r>
        <w:t xml:space="preserve">The company adheres to the highest legal and ethical standards applicable in our business. The company's business is conducted in strict observance of both the letter and spirit of all applicable laws and the integrity of each employee is of utmost importance.</w:t>
      </w:r>
    </w:p>
    <w:bookmarkStart w:id="32" w:name="contact-with-the-media"/>
    <w:p>
      <w:pPr>
        <w:pStyle w:val="Heading3"/>
      </w:pPr>
      <w:r>
        <w:t xml:space="preserve">Contact with the Media</w:t>
      </w:r>
    </w:p>
    <w:bookmarkEnd w:id="32"/>
    <w:p>
      <w:r>
        <w:t xml:space="preserve">All media inquiries regarding the company and its operations must be referred to the Executive Director. Only the Executive Director or Chairman of the Board is authorized to make or approve public statements on behalf of the company.</w:t>
      </w:r>
    </w:p>
    <w:bookmarkStart w:id="33" w:name="staff-boards"/>
    <w:p>
      <w:pPr>
        <w:pStyle w:val="Heading2"/>
      </w:pPr>
      <w:r>
        <w:t xml:space="preserve">Staff &amp; Boards</w:t>
      </w:r>
    </w:p>
    <w:bookmarkEnd w:id="33"/>
    <w:bookmarkStart w:id="34" w:name="staff"/>
    <w:p>
      <w:pPr>
        <w:pStyle w:val="Heading3"/>
      </w:pPr>
      <w:r>
        <w:t xml:space="preserve">Staff</w:t>
      </w:r>
    </w:p>
    <w:bookmarkEnd w:id="34"/>
    <w:p>
      <w:pPr>
        <w:pStyle w:val="Compact"/>
        <w:numPr>
          <w:numId w:val="2"/>
          <w:ilvl w:val="0"/>
        </w:numPr>
      </w:pPr>
      <w:r>
        <w:t xml:space="preserve">Seamus Kraft, Co-Founder and Executive Director</w:t>
      </w:r>
    </w:p>
    <w:p>
      <w:pPr>
        <w:pStyle w:val="Compact"/>
        <w:numPr>
          <w:numId w:val="2"/>
          <w:ilvl w:val="0"/>
        </w:numPr>
      </w:pPr>
      <w:r>
        <w:t xml:space="preserve">Aaron Bartnick, Chief Operating Officer</w:t>
      </w:r>
    </w:p>
    <w:p>
      <w:pPr>
        <w:pStyle w:val="Compact"/>
        <w:numPr>
          <w:numId w:val="2"/>
          <w:ilvl w:val="0"/>
        </w:numPr>
      </w:pPr>
      <w:r>
        <w:t xml:space="preserve">Chris Birk, Lead Developer</w:t>
      </w:r>
    </w:p>
    <w:p>
      <w:pPr>
        <w:pStyle w:val="Compact"/>
        <w:numPr>
          <w:numId w:val="2"/>
          <w:ilvl w:val="0"/>
        </w:numPr>
      </w:pPr>
      <w:r>
        <w:t xml:space="preserve">Bill Hunt, Senior Developer</w:t>
      </w:r>
    </w:p>
    <w:bookmarkStart w:id="35" w:name="board-of-directors"/>
    <w:p>
      <w:pPr>
        <w:pStyle w:val="Heading3"/>
      </w:pPr>
      <w:r>
        <w:t xml:space="preserve">Board of Directors</w:t>
      </w:r>
    </w:p>
    <w:bookmarkEnd w:id="35"/>
    <w:p>
      <w:pPr>
        <w:pStyle w:val="Compact"/>
        <w:numPr>
          <w:numId w:val="3"/>
          <w:ilvl w:val="0"/>
        </w:numPr>
      </w:pPr>
      <w:r>
        <w:t xml:space="preserve">Congressman Darrell Issa, Chairman</w:t>
      </w:r>
    </w:p>
    <w:p>
      <w:pPr>
        <w:pStyle w:val="Compact"/>
        <w:numPr>
          <w:numId w:val="3"/>
          <w:ilvl w:val="0"/>
        </w:numPr>
      </w:pPr>
      <w:r>
        <w:t xml:space="preserve">Seamus Kraft, Vice-Chairman</w:t>
      </w:r>
    </w:p>
    <w:p>
      <w:pPr>
        <w:pStyle w:val="Compact"/>
        <w:numPr>
          <w:numId w:val="3"/>
          <w:ilvl w:val="0"/>
        </w:numPr>
      </w:pPr>
      <w:r>
        <w:t xml:space="preserve">Rich Hirshberg, Treasurer</w:t>
      </w:r>
    </w:p>
    <w:p>
      <w:pPr>
        <w:pStyle w:val="Compact"/>
        <w:numPr>
          <w:numId w:val="3"/>
          <w:ilvl w:val="0"/>
        </w:numPr>
      </w:pPr>
      <w:r>
        <w:t xml:space="preserve">James Lacy, Counsel</w:t>
      </w:r>
    </w:p>
    <w:p>
      <w:pPr>
        <w:pStyle w:val="Compact"/>
        <w:numPr>
          <w:numId w:val="3"/>
          <w:ilvl w:val="0"/>
        </w:numPr>
      </w:pPr>
      <w:r>
        <w:t xml:space="preserve">Chris Birk, Member</w:t>
      </w:r>
    </w:p>
    <w:p>
      <w:pPr>
        <w:pStyle w:val="Compact"/>
        <w:numPr>
          <w:numId w:val="3"/>
          <w:ilvl w:val="0"/>
        </w:numPr>
      </w:pPr>
      <w:r>
        <w:t xml:space="preserve">Tom Davis, Member</w:t>
      </w:r>
    </w:p>
    <w:p>
      <w:pPr>
        <w:pStyle w:val="Compact"/>
        <w:numPr>
          <w:numId w:val="3"/>
          <w:ilvl w:val="0"/>
        </w:numPr>
      </w:pPr>
      <w:r>
        <w:t xml:space="preserve">Abhi Nemani, Member</w:t>
      </w:r>
    </w:p>
    <w:p>
      <w:pPr>
        <w:pStyle w:val="Compact"/>
        <w:numPr>
          <w:numId w:val="3"/>
          <w:ilvl w:val="0"/>
        </w:numPr>
      </w:pPr>
      <w:r>
        <w:t xml:space="preserve">Lanham Napier, Member</w:t>
      </w:r>
    </w:p>
    <w:bookmarkStart w:id="36" w:name="board-of-advisers"/>
    <w:p>
      <w:pPr>
        <w:pStyle w:val="Heading3"/>
      </w:pPr>
      <w:r>
        <w:t xml:space="preserve">Board of Advisers</w:t>
      </w:r>
    </w:p>
    <w:bookmarkEnd w:id="36"/>
    <w:p>
      <w:pPr>
        <w:pStyle w:val="Compact"/>
        <w:numPr>
          <w:numId w:val="4"/>
          <w:ilvl w:val="0"/>
        </w:numPr>
      </w:pPr>
      <w:r>
        <w:t xml:space="preserve">Scout Addis, Design</w:t>
      </w:r>
    </w:p>
    <w:p>
      <w:pPr>
        <w:pStyle w:val="Compact"/>
        <w:numPr>
          <w:numId w:val="4"/>
          <w:ilvl w:val="0"/>
        </w:numPr>
      </w:pPr>
      <w:r>
        <w:t xml:space="preserve">Jen Yu, Design</w:t>
      </w:r>
    </w:p>
    <w:p>
      <w:pPr>
        <w:pStyle w:val="Compact"/>
        <w:numPr>
          <w:numId w:val="4"/>
          <w:ilvl w:val="0"/>
        </w:numPr>
      </w:pPr>
      <w:r>
        <w:t xml:space="preserve">Joe Trippi, Political Campaigns</w:t>
      </w:r>
    </w:p>
    <w:p>
      <w:pPr>
        <w:pStyle w:val="Compact"/>
        <w:numPr>
          <w:numId w:val="4"/>
          <w:ilvl w:val="0"/>
        </w:numPr>
      </w:pPr>
      <w:r>
        <w:t xml:space="preserve">Karien Bezuidenhout, Shuttleworth Foundation</w:t>
      </w:r>
    </w:p>
    <w:p>
      <w:pPr>
        <w:pStyle w:val="Compact"/>
        <w:numPr>
          <w:numId w:val="4"/>
          <w:ilvl w:val="0"/>
        </w:numPr>
      </w:pPr>
      <w:r>
        <w:t xml:space="preserve">Maggie McKinely, Harvard University</w:t>
      </w:r>
    </w:p>
    <w:bookmarkStart w:id="37" w:name="benefits-compensation"/>
    <w:p>
      <w:pPr>
        <w:pStyle w:val="Heading2"/>
      </w:pPr>
      <w:r>
        <w:t xml:space="preserve">Benefits &amp; Compensation</w:t>
      </w:r>
    </w:p>
    <w:bookmarkEnd w:id="37"/>
    <w:bookmarkStart w:id="38" w:name="payroll"/>
    <w:p>
      <w:pPr>
        <w:pStyle w:val="Heading3"/>
      </w:pPr>
      <w:r>
        <w:t xml:space="preserve">Payroll</w:t>
      </w:r>
    </w:p>
    <w:bookmarkEnd w:id="38"/>
    <w:p>
      <w:r>
        <w:t xml:space="preserve">Administered twice monthly, on the 15th and last day of each month, via direct deposit. The organization's treasurer is available to help with any payroll or benefits questions.</w:t>
      </w:r>
    </w:p>
    <w:bookmarkStart w:id="39" w:name="medical-dental-and-vision-coverage"/>
    <w:p>
      <w:pPr>
        <w:pStyle w:val="Heading3"/>
      </w:pPr>
      <w:r>
        <w:t xml:space="preserve">Medical, Dental and Vision Coverage</w:t>
      </w:r>
    </w:p>
    <w:bookmarkEnd w:id="39"/>
    <w:p>
      <w:r>
        <w:t xml:space="preserve">We receive health and dental coverage and pharmacy benefits through a Company sponsored Healthcare plan. The company pays 80% of the premium cost of the plan. The employee pays 20% through payroll deduction. Enrollment in the benefit plans is optional.</w:t>
      </w:r>
    </w:p>
    <w:p>
      <w:r>
        <w:t xml:space="preserve">The current plan is a United Healthcare PPO Plan, including dental and vision coverage. Physician network and other services can be found at www.myuhc.com</w:t>
      </w:r>
    </w:p>
    <w:bookmarkStart w:id="40" w:name="annual-team-member-performance-review-raises-and-bonuses"/>
    <w:p>
      <w:pPr>
        <w:pStyle w:val="Heading3"/>
      </w:pPr>
      <w:r>
        <w:t xml:space="preserve">Annual Team Member Performance Review, Raises, and Bonuses</w:t>
      </w:r>
    </w:p>
    <w:bookmarkEnd w:id="40"/>
    <w:p>
      <w:r>
        <w:t xml:space="preserve">We believe that the first step to success is setting clear personal, professional and organizational goals. At the beginning of each calendar year, or when a new team member joins The OpenGov Foundation, each employee develops goals for the following six months. In June, the employee and Executive Director review those goals, revise them if need be, and ensure that each employee has all of the support and resources possible to reach their goals. In advance of the December meeting of the Board of Directors, the Executive Director will review each employee's goals with them, progress made, and start the process of developing the following year's goals. The January, June and December employee goals and review sessions provide the bulk of the information to be used in each employee's annual performance review. You can view</w:t>
      </w:r>
      <w:r>
        <w:t xml:space="preserve"> </w:t>
      </w:r>
      <w:hyperlink r:id="rId41">
        <w:r>
          <w:rPr>
            <w:rStyle w:val="Link"/>
          </w:rPr>
          <w:t xml:space="preserve">the Employee Goals template here</w:t>
        </w:r>
      </w:hyperlink>
      <w:r>
        <w:t xml:space="preserve">.</w:t>
      </w:r>
    </w:p>
    <w:p>
      <w:r>
        <w:t xml:space="preserve">Each employee will participate in an annual review of their performance, conducted by the employee's direct supervisor. Raises and bonuses will be considered by the Board of Directors at that time based on the individual employee's performance and recommendation from the Executive Director.</w:t>
      </w:r>
    </w:p>
    <w:p>
      <w:r>
        <w:t xml:space="preserve">Annual cost of living increases will be combined with any merit increases described above. These will be reviewed and approved by the Board of Directors on an annual basis.</w:t>
      </w:r>
    </w:p>
    <w:p>
      <w:r>
        <w:t xml:space="preserve">Additional raises and bonuses may be considered at other times to account for special circumstances, such as extraordinary performance, a change in position and/or an increase in responsibilities.</w:t>
      </w:r>
    </w:p>
    <w:bookmarkStart w:id="42" w:name="covered-expenses-reimbursements"/>
    <w:p>
      <w:pPr>
        <w:pStyle w:val="Heading2"/>
      </w:pPr>
      <w:r>
        <w:t xml:space="preserve">Covered Expenses &amp; Reimbursements</w:t>
      </w:r>
    </w:p>
    <w:bookmarkEnd w:id="42"/>
    <w:bookmarkStart w:id="43" w:name="covered-expenses"/>
    <w:p>
      <w:pPr>
        <w:pStyle w:val="Heading3"/>
      </w:pPr>
      <w:r>
        <w:t xml:space="preserve">Covered Expenses</w:t>
      </w:r>
    </w:p>
    <w:bookmarkEnd w:id="43"/>
    <w:p>
      <w:r>
        <w:t xml:space="preserve">The organization will reimburse pre-approved, work-related expenses. Any expenditure totalling more than $1,000—including cumulative expenses like software subscriptions—must be pre-approved by the Board of Directors and Executive Director. Sub-$1,000 reimbursable expenses which do not require BOD approval include but are not limited to:</w:t>
      </w:r>
    </w:p>
    <w:p>
      <w:pPr>
        <w:pStyle w:val="Compact"/>
        <w:numPr>
          <w:numId w:val="5"/>
          <w:ilvl w:val="0"/>
        </w:numPr>
      </w:pPr>
      <w:r>
        <w:t xml:space="preserve">Travel between work meetings and the office.</w:t>
      </w:r>
    </w:p>
    <w:p>
      <w:pPr>
        <w:pStyle w:val="Compact"/>
        <w:numPr>
          <w:numId w:val="5"/>
          <w:ilvl w:val="0"/>
        </w:numPr>
      </w:pPr>
      <w:r>
        <w:t xml:space="preserve">Travel to, from, and during conferences and events.</w:t>
      </w:r>
    </w:p>
    <w:p>
      <w:pPr>
        <w:pStyle w:val="Compact"/>
        <w:numPr>
          <w:numId w:val="5"/>
          <w:ilvl w:val="0"/>
        </w:numPr>
      </w:pPr>
      <w:r>
        <w:t xml:space="preserve">Housing and food during conferences and events.</w:t>
      </w:r>
    </w:p>
    <w:p>
      <w:pPr>
        <w:pStyle w:val="Compact"/>
        <w:numPr>
          <w:numId w:val="5"/>
          <w:ilvl w:val="0"/>
        </w:numPr>
      </w:pPr>
      <w:r>
        <w:t xml:space="preserve">Business-meeting meals and drinks.</w:t>
      </w:r>
    </w:p>
    <w:p>
      <w:pPr>
        <w:pStyle w:val="Compact"/>
        <w:numPr>
          <w:numId w:val="5"/>
          <w:ilvl w:val="0"/>
        </w:numPr>
      </w:pPr>
      <w:r>
        <w:t xml:space="preserve">Office supplies.</w:t>
      </w:r>
    </w:p>
    <w:p>
      <w:pPr>
        <w:pStyle w:val="Compact"/>
        <w:numPr>
          <w:numId w:val="5"/>
          <w:ilvl w:val="0"/>
        </w:numPr>
      </w:pPr>
      <w:r>
        <w:t xml:space="preserve">Organization-specific subscriptions and/or software.</w:t>
      </w:r>
    </w:p>
    <w:p>
      <w:pPr>
        <w:pStyle w:val="Compact"/>
        <w:numPr>
          <w:numId w:val="5"/>
          <w:ilvl w:val="0"/>
        </w:numPr>
      </w:pPr>
      <w:r>
        <w:t xml:space="preserve">Expenses stemming from events organized by the organization</w:t>
      </w:r>
    </w:p>
    <w:p>
      <w:r>
        <w:t xml:space="preserve">Employees are expected to travel coach class when traveling by air, book reasonably-priced hotels and not spend excessively on meals and other travel expenses.</w:t>
      </w:r>
    </w:p>
    <w:bookmarkStart w:id="44" w:name="reimbursements"/>
    <w:p>
      <w:pPr>
        <w:pStyle w:val="Heading3"/>
      </w:pPr>
      <w:r>
        <w:t xml:space="preserve">Reimbursements</w:t>
      </w:r>
    </w:p>
    <w:bookmarkEnd w:id="44"/>
    <w:p>
      <w:r>
        <w:t xml:space="preserve">You are strongly encouraged to file reimbursement requests as soon as you incur the expenses, for example, within the week following a business trip or conference. Expenses are usually reimbursed within a week of approval and submission. Each reimbursement request must be sent to the Executive Director, who will review, approve, then submit for payment to the Chairman of the Board of Directors and our bookkeeper. Each reimbursement request must include these three things:</w:t>
      </w:r>
    </w:p>
    <w:p>
      <w:pPr>
        <w:pStyle w:val="Compact"/>
        <w:numPr>
          <w:numId w:val="6"/>
          <w:ilvl w:val="0"/>
        </w:numPr>
      </w:pPr>
      <w:r>
        <w:t xml:space="preserve">A complete and accurate spreadsheet expense report totaling and classifying your expenditures.</w:t>
      </w:r>
    </w:p>
    <w:p>
      <w:pPr>
        <w:pStyle w:val="Compact"/>
        <w:numPr>
          <w:numId w:val="6"/>
          <w:ilvl w:val="0"/>
        </w:numPr>
      </w:pPr>
      <w:r>
        <w:t xml:space="preserve">A complete and accurate cover letter to the Chairman of the Board of Directors requesting reimbursement.</w:t>
      </w:r>
    </w:p>
    <w:p>
      <w:pPr>
        <w:pStyle w:val="Compact"/>
        <w:numPr>
          <w:numId w:val="6"/>
          <w:ilvl w:val="0"/>
        </w:numPr>
      </w:pPr>
      <w:r>
        <w:t xml:space="preserve">A PDF document that is less than 10MB in size containing receipts for each of the expenses for which you are seeking reimbursement.</w:t>
      </w:r>
    </w:p>
    <w:bookmarkStart w:id="45" w:name="professional-development"/>
    <w:p>
      <w:pPr>
        <w:pStyle w:val="Heading3"/>
      </w:pPr>
      <w:r>
        <w:t xml:space="preserve">Professional Development</w:t>
      </w:r>
    </w:p>
    <w:bookmarkEnd w:id="45"/>
    <w:p>
      <w:r>
        <w:t xml:space="preserve">We strongly encourage employees to explore professional development options. The organization will cover one half of pre-approved costs associated with professional development expenditures. All professional development expenses require both Executive Director and Board of Directors approval.</w:t>
      </w:r>
    </w:p>
    <w:p>
      <w:r>
        <w:t xml:space="preserve">Potential professional development opportunities include, but are not limited to: * Attending relevant professional conferences. * Tuition for relevant classes. * Books on relevant topics.</w:t>
      </w:r>
    </w:p>
    <w:p>
      <w:r>
        <w:t xml:space="preserve">To seek approval for a professional development opportunity, please submit the following items to your supervisor, who will review and discuss them with you, and share them with the Board of Directors. * A short memo outlining the professional development opportunity you are seeking, how it would support your growth, how it would benefit the organization. * The total cost of the opportunity, and any relevant payment dates and methods. * The time the opportunity would require (dates, times, including travel) as well as the location.</w:t>
      </w:r>
    </w:p>
    <w:bookmarkStart w:id="46" w:name="schedule-hours-vacation"/>
    <w:p>
      <w:pPr>
        <w:pStyle w:val="Heading2"/>
      </w:pPr>
      <w:r>
        <w:t xml:space="preserve">Schedule, Hours &amp; Vacation</w:t>
      </w:r>
    </w:p>
    <w:bookmarkEnd w:id="46"/>
    <w:bookmarkStart w:id="47" w:name="office-hours-daily-schedule-absences"/>
    <w:p>
      <w:pPr>
        <w:pStyle w:val="Heading3"/>
      </w:pPr>
      <w:r>
        <w:t xml:space="preserve">Office Hours, Daily Schedule &amp; Absences</w:t>
      </w:r>
    </w:p>
    <w:bookmarkEnd w:id="47"/>
    <w:p>
      <w:r>
        <w:t xml:space="preserve">Employees are expected to work a minimum of 40 hours per week, but we are flexible on where and when that work gets done.</w:t>
      </w:r>
    </w:p>
    <w:p>
      <w:r>
        <w:t xml:space="preserve">Employees should check in on Teamwork by 10 AM Eastern Time each week day with an update of their work plan for the day. Communication is vital to the success of our team; therefore, team members are expected to be reasonably accessible by phone, Slack, and email between the hours of 10 AM–5 PM.</w:t>
      </w:r>
    </w:p>
    <w:p>
      <w:r>
        <w:t xml:space="preserve">Employees are able to work from home and/or remotely, as long as they are able to participate in all necessary meetings.</w:t>
      </w:r>
    </w:p>
    <w:p>
      <w:r>
        <w:t xml:space="preserve">Any time that you won't be available during usual office hours (10 AM–5 PM)—for appointments, sick time, vacation, etc.—should be put on the calendar, and an email must be sent to the employee's supervisor. For non-emergency medical absences, please notify your supervisor at least 48 hours in advance.</w:t>
      </w:r>
    </w:p>
    <w:p>
      <w:r>
        <w:t xml:space="preserve">We track time using Harvest. Hours worked must be recorded in Harvest by the end of each week (Sunday evening).</w:t>
      </w:r>
    </w:p>
    <w:bookmarkStart w:id="48" w:name="vacation-leave-policy"/>
    <w:p>
      <w:pPr>
        <w:pStyle w:val="Heading3"/>
      </w:pPr>
      <w:r>
        <w:t xml:space="preserve">Vacation &amp; Leave Policy</w:t>
      </w:r>
    </w:p>
    <w:bookmarkEnd w:id="48"/>
    <w:p>
      <w:r>
        <w:t xml:space="preserve">We are closed on all Federal holidays and during the week between Christmas and the New Year. We also have a few additional days off, please see</w:t>
      </w:r>
      <w:r>
        <w:t xml:space="preserve"> </w:t>
      </w:r>
      <w:hyperlink r:id="rId49">
        <w:r>
          <w:rPr>
            <w:rStyle w:val="Link"/>
          </w:rPr>
          <w:t xml:space="preserve">the attached holidays list</w:t>
        </w:r>
      </w:hyperlink>
      <w:r>
        <w:t xml:space="preserve">.</w:t>
      </w:r>
    </w:p>
    <w:p>
      <w:r>
        <w:t xml:space="preserve">We expect everyone to be able to get their work done in a timely fashion, and to not have to work on personal time. Rested and refreshed people are better team members, and we strongly encourage enjoying life outside of the office. Employees should take a</w:t>
      </w:r>
      <w:r>
        <w:t xml:space="preserve"> </w:t>
      </w:r>
      <w:r>
        <w:rPr>
          <w:i/>
        </w:rPr>
        <w:t xml:space="preserve">minimum</w:t>
      </w:r>
      <w:r>
        <w:t xml:space="preserve"> </w:t>
      </w:r>
      <w:r>
        <w:t xml:space="preserve">of two weeks of paid vacation per year, totaling 10 business days.</w:t>
      </w:r>
    </w:p>
    <w:p>
      <w:r>
        <w:t xml:space="preserve">To schedule time off, permission must be granted by your supervisor no less than 5 business days in advance, the dates and location of your travel must be put onto the team calendar, and the team should be notified via email. To track time off, please track the vacation time in Harvest.</w:t>
      </w:r>
    </w:p>
    <w:p>
      <w:r>
        <w:t xml:space="preserve">For personal, medical, or family leave, each employee is encouraged to take the current Family and Medical Leave Act maximum.</w:t>
      </w:r>
    </w:p>
    <w:p>
      <w:r>
        <w:t xml:space="preserve">For maternity and paternity leave, employees are encouraged to take up to 16 weeks of leave.</w:t>
      </w:r>
    </w:p>
    <w:p>
      <w:r>
        <w:t xml:space="preserve">Employees must inform your supervisor in writing as far in advance as is reasonable for staff and project planning purposes. All extended periods of leave must be discussed with the Executive Director.</w:t>
      </w:r>
    </w:p>
    <w:bookmarkStart w:id="50" w:name="sick-days"/>
    <w:p>
      <w:pPr>
        <w:pStyle w:val="Heading3"/>
      </w:pPr>
      <w:r>
        <w:t xml:space="preserve">Sick Days</w:t>
      </w:r>
    </w:p>
    <w:bookmarkEnd w:id="50"/>
    <w:p>
      <w:r>
        <w:t xml:space="preserve">Please notify the team if you are sick and need to take the day off. Even if you are feeling well enough to work, please work from home until you are completely recovered, to avoid spreading illness through our small office.</w:t>
      </w:r>
    </w:p>
    <w:bookmarkStart w:id="51" w:name="how-we-work"/>
    <w:p>
      <w:pPr>
        <w:pStyle w:val="Heading2"/>
      </w:pPr>
      <w:r>
        <w:t xml:space="preserve">How We Work</w:t>
      </w:r>
    </w:p>
    <w:bookmarkEnd w:id="51"/>
    <w:bookmarkStart w:id="52" w:name="email-accounts-document-sharing-password-sharing"/>
    <w:p>
      <w:pPr>
        <w:pStyle w:val="Heading3"/>
      </w:pPr>
      <w:r>
        <w:t xml:space="preserve">Email Accounts, Document Sharing &amp; Password Sharing</w:t>
      </w:r>
    </w:p>
    <w:bookmarkEnd w:id="52"/>
    <w:p>
      <w:r>
        <w:t xml:space="preserve">We will set you up with an organization Gmail account. This will provide you access to our email, calendar, and Google+ accounts. Please use this for all work-related correspondence, scheduling, etc. Personal accounts should not be used for work-related activities.</w:t>
      </w:r>
    </w:p>
    <w:p>
      <w:r>
        <w:t xml:space="preserve">You will be granted access to our shared passwords in Passpack. All passwords that need to be shared with the organization must be shared using Passpack, you must not share them via email or other insecure methods.</w:t>
      </w:r>
    </w:p>
    <w:bookmarkStart w:id="53" w:name="calendars"/>
    <w:p>
      <w:pPr>
        <w:pStyle w:val="Heading3"/>
      </w:pPr>
      <w:r>
        <w:t xml:space="preserve">Calendars</w:t>
      </w:r>
    </w:p>
    <w:bookmarkEnd w:id="53"/>
    <w:p>
      <w:r>
        <w:t xml:space="preserve">Please keep your availability updated on your Google calendar account associated with the organization - please don't use your personal account. Please record any meetings, vacation time, appointments, and anything else that your teammates might need to schedule around. Feel free to schedule meetings with other coworkers on the Google calendar.</w:t>
      </w:r>
    </w:p>
    <w:p>
      <w:r>
        <w:t xml:space="preserve">To help prevent resource conflicts, if you are using the UberConference number or the appear.in video chat, please add your call to the appropriate calendar (Phone Conference, Video Conference, etc), which we will share with your work account.</w:t>
      </w:r>
    </w:p>
    <w:bookmarkStart w:id="54" w:name="regular-meetings"/>
    <w:p>
      <w:pPr>
        <w:pStyle w:val="Heading3"/>
      </w:pPr>
      <w:r>
        <w:t xml:space="preserve">Regular Meetings</w:t>
      </w:r>
    </w:p>
    <w:bookmarkEnd w:id="54"/>
    <w:bookmarkStart w:id="55" w:name="daily-team-meeting"/>
    <w:p>
      <w:pPr>
        <w:pStyle w:val="Heading4"/>
      </w:pPr>
      <w:r>
        <w:t xml:space="preserve">Daily Team Meeting</w:t>
      </w:r>
    </w:p>
    <w:bookmarkEnd w:id="55"/>
    <w:p>
      <w:r>
        <w:t xml:space="preserve">Every morning, we meet for 15-20 minutes to discuss our priorities for the day. We do our best to meet in person. If you cannot attend in person, please notify the group and call in via Skype. This is the best time to bring up issues that have arisen over the past 24 hours and work together to anticipate upcoming issues.</w:t>
      </w:r>
    </w:p>
    <w:bookmarkStart w:id="56" w:name="weekly-priorities-setting-meeting"/>
    <w:p>
      <w:pPr>
        <w:pStyle w:val="Heading4"/>
      </w:pPr>
      <w:r>
        <w:t xml:space="preserve">Weekly Priorities-Setting Meeting</w:t>
      </w:r>
    </w:p>
    <w:bookmarkEnd w:id="56"/>
    <w:p>
      <w:r>
        <w:t xml:space="preserve">We meet once a week to go over our priorities for the week. We do our best to meet in person. If you cannot attend in person, please notify the group and call in via Skype. This is a good time to ask for help from the group and to make sure that we are all using our time wisely.</w:t>
      </w:r>
    </w:p>
    <w:bookmarkStart w:id="57" w:name="weekly-team-lunch"/>
    <w:p>
      <w:pPr>
        <w:pStyle w:val="Heading4"/>
      </w:pPr>
      <w:r>
        <w:t xml:space="preserve">Weekly Team Lunch</w:t>
      </w:r>
    </w:p>
    <w:bookmarkEnd w:id="57"/>
    <w:p>
      <w:pPr>
        <w:pStyle w:val="Compact"/>
        <w:numPr>
          <w:numId w:val="7"/>
          <w:ilvl w:val="0"/>
        </w:numPr>
      </w:pPr>
      <w:r>
        <w:t xml:space="preserve">We have lunch together once a week, just for fun and to catch up.</w:t>
      </w:r>
    </w:p>
    <w:bookmarkStart w:id="58" w:name="tech-breakfasts"/>
    <w:p>
      <w:pPr>
        <w:pStyle w:val="Heading4"/>
      </w:pPr>
      <w:r>
        <w:t xml:space="preserve">Tech Breakfasts</w:t>
      </w:r>
    </w:p>
    <w:bookmarkEnd w:id="58"/>
    <w:p>
      <w:r>
        <w:t xml:space="preserve">Every week we hold a question-and-answer session where non-technical members of the team can ask our developers whatever tech-related questions they want. This is a great way to make sure everyone's on the same page regarding what we're building &amp; but questions don't have to be about our work.</w:t>
      </w:r>
    </w:p>
    <w:bookmarkStart w:id="59" w:name="book-club"/>
    <w:p>
      <w:pPr>
        <w:pStyle w:val="Heading4"/>
      </w:pPr>
      <w:r>
        <w:t xml:space="preserve">Book Club</w:t>
      </w:r>
    </w:p>
    <w:bookmarkEnd w:id="59"/>
    <w:p>
      <w:r>
        <w:t xml:space="preserve">We're a small team in an emerging field. Professional development and continuing education is an important part of all of our jobs. We foster team growth by holding a book club once a month. Anyone is welcome to suggest reading material; it's helpful for that person to facilitate discussion by bringing a few questions or observations from the reading to the discussion.</w:t>
      </w:r>
    </w:p>
    <w:bookmarkStart w:id="60" w:name="tools-services-we-use"/>
    <w:p>
      <w:pPr>
        <w:pStyle w:val="Heading3"/>
      </w:pPr>
      <w:r>
        <w:t xml:space="preserve">Tools &amp; Services We Use</w:t>
      </w:r>
    </w:p>
    <w:bookmarkEnd w:id="60"/>
    <w:bookmarkStart w:id="61" w:name="teamwork"/>
    <w:p>
      <w:pPr>
        <w:pStyle w:val="Heading4"/>
      </w:pPr>
      <w:r>
        <w:t xml:space="preserve">Teamwork</w:t>
      </w:r>
    </w:p>
    <w:bookmarkEnd w:id="61"/>
    <w:p>
      <w:r>
        <w:t xml:space="preserve">For daily status updates, project planning, and task management. If you need another team member to do something, please assign them a task on Teamwork. Tech support issues on America Decoded sites should be logged as tasks under the "State Decoded" project.</w:t>
      </w:r>
    </w:p>
    <w:bookmarkStart w:id="62" w:name="slack"/>
    <w:p>
      <w:pPr>
        <w:pStyle w:val="Heading4"/>
      </w:pPr>
      <w:r>
        <w:t xml:space="preserve">Slack</w:t>
      </w:r>
    </w:p>
    <w:bookmarkEnd w:id="62"/>
    <w:p>
      <w:r>
        <w:t xml:space="preserve">For team chat.</w:t>
      </w:r>
    </w:p>
    <w:bookmarkStart w:id="63" w:name="uberconference"/>
    <w:p>
      <w:pPr>
        <w:pStyle w:val="Heading4"/>
      </w:pPr>
      <w:r>
        <w:t xml:space="preserve">UberConference</w:t>
      </w:r>
    </w:p>
    <w:bookmarkEnd w:id="63"/>
    <w:p>
      <w:r>
        <w:t xml:space="preserve">For group calls. Please enter calls on the Phone Conference calendar to avoid double-booking the line.</w:t>
      </w:r>
    </w:p>
    <w:bookmarkStart w:id="64" w:name="appear.in-skype"/>
    <w:p>
      <w:pPr>
        <w:pStyle w:val="Heading4"/>
      </w:pPr>
      <w:r>
        <w:t xml:space="preserve">Appear.in, Skype</w:t>
      </w:r>
    </w:p>
    <w:bookmarkEnd w:id="64"/>
    <w:p>
      <w:r>
        <w:t xml:space="preserve">For group video chats. Please enter appear.in calls on the Video Conference calendar to avoid double-booking the service.</w:t>
      </w:r>
    </w:p>
    <w:bookmarkStart w:id="65" w:name="google-calendar"/>
    <w:p>
      <w:pPr>
        <w:pStyle w:val="Heading4"/>
      </w:pPr>
      <w:r>
        <w:t xml:space="preserve">Google Calendar</w:t>
      </w:r>
    </w:p>
    <w:bookmarkEnd w:id="65"/>
    <w:p>
      <w:r>
        <w:t xml:space="preserve">Please keep your availability updated on your Google Calendar for the organization.</w:t>
      </w:r>
    </w:p>
    <w:bookmarkStart w:id="66" w:name="google-docs"/>
    <w:p>
      <w:pPr>
        <w:pStyle w:val="Heading4"/>
      </w:pPr>
      <w:r>
        <w:t xml:space="preserve">Google Docs</w:t>
      </w:r>
    </w:p>
    <w:bookmarkEnd w:id="66"/>
    <w:p>
      <w:r>
        <w:t xml:space="preserve">For group collaboration on written materials, call agendas, our budget tracking document, etc. etc.</w:t>
      </w:r>
    </w:p>
    <w:bookmarkStart w:id="67" w:name="hackpad"/>
    <w:p>
      <w:pPr>
        <w:pStyle w:val="Heading4"/>
      </w:pPr>
      <w:r>
        <w:t xml:space="preserve">Hackpad</w:t>
      </w:r>
    </w:p>
    <w:bookmarkEnd w:id="67"/>
    <w:p>
      <w:r>
        <w:t xml:space="preserve">Alternative to above. Has a handy checklist feature. We also use this for hackathon coordination.</w:t>
      </w:r>
    </w:p>
    <w:bookmarkStart w:id="68" w:name="github"/>
    <w:p>
      <w:pPr>
        <w:pStyle w:val="Heading4"/>
      </w:pPr>
      <w:r>
        <w:t xml:space="preserve">GitHub</w:t>
      </w:r>
    </w:p>
    <w:bookmarkEnd w:id="68"/>
    <w:p>
      <w:r>
        <w:t xml:space="preserve">All of our work is open source and up on GitHub. Most projects should have an Apache 2, MIT, or LGPL 3 license; most resources should be released as CC-0.</w:t>
      </w:r>
    </w:p>
    <w:bookmarkStart w:id="69" w:name="disqus"/>
    <w:p>
      <w:pPr>
        <w:pStyle w:val="Heading4"/>
      </w:pPr>
      <w:r>
        <w:t xml:space="preserve">Disqus</w:t>
      </w:r>
    </w:p>
    <w:bookmarkEnd w:id="69"/>
    <w:p>
      <w:r>
        <w:t xml:space="preserve">Used for comments on America Decoded sites. We try to respond to non-spam comments within 24 hours.</w:t>
      </w:r>
    </w:p>
    <w:bookmarkStart w:id="70" w:name="uservoice"/>
    <w:p>
      <w:pPr>
        <w:pStyle w:val="Heading4"/>
      </w:pPr>
      <w:r>
        <w:t xml:space="preserve">Uservoice</w:t>
      </w:r>
    </w:p>
    <w:bookmarkEnd w:id="70"/>
    <w:p>
      <w:r>
        <w:t xml:space="preserve">For technical issues from Madison and State Decoded sites. We try to respond to questions and tech support issues within 24 hours.</w:t>
      </w:r>
    </w:p>
    <w:bookmarkStart w:id="71" w:name="passpack"/>
    <w:p>
      <w:pPr>
        <w:pStyle w:val="Heading4"/>
      </w:pPr>
      <w:r>
        <w:t xml:space="preserve">Passpack</w:t>
      </w:r>
    </w:p>
    <w:bookmarkEnd w:id="71"/>
    <w:p>
      <w:r>
        <w:t xml:space="preserve">For password storage. Please create your own Passpack account and connect with the main organization account. Any time you create an account relevant to our work, please share the password with the organization on Passpack.</w:t>
      </w:r>
    </w:p>
    <w:bookmarkStart w:id="72" w:name="recommended-reading"/>
    <w:p>
      <w:pPr>
        <w:pStyle w:val="Heading2"/>
      </w:pPr>
      <w:r>
        <w:t xml:space="preserve">Recommended Reading</w:t>
      </w:r>
    </w:p>
    <w:bookmarkEnd w:id="72"/>
    <w:p>
      <w:pPr>
        <w:pStyle w:val="Compact"/>
        <w:numPr>
          <w:numId w:val="8"/>
          <w:ilvl w:val="0"/>
        </w:numPr>
      </w:pPr>
      <w:r>
        <w:t xml:space="preserve">Remote: Office Not Required ( specific chapters )</w:t>
      </w:r>
    </w:p>
    <w:p>
      <w:pPr>
        <w:pStyle w:val="Compact"/>
        <w:numPr>
          <w:numId w:val="8"/>
          <w:ilvl w:val="0"/>
        </w:numPr>
      </w:pPr>
      <w:r>
        <w:t xml:space="preserve">How to Collaborate Remotely</w:t>
      </w:r>
    </w:p>
    <w:p>
      <w:pPr>
        <w:pStyle w:val="Compact"/>
        <w:numPr>
          <w:numId w:val="8"/>
          <w:ilvl w:val="0"/>
        </w:numPr>
      </w:pPr>
      <w:r>
        <w:t xml:space="preserve">Beware the Dragons</w:t>
      </w:r>
    </w:p>
    <w:p>
      <w:pPr>
        <w:pStyle w:val="Compact"/>
        <w:numPr>
          <w:numId w:val="8"/>
          <w:ilvl w:val="0"/>
        </w:numPr>
      </w:pPr>
      <w:r>
        <w:t xml:space="preserve">Managing Remote Workers</w:t>
      </w:r>
    </w:p>
    <w:p>
      <w:pPr>
        <w:pStyle w:val="Compact"/>
        <w:numPr>
          <w:numId w:val="8"/>
          <w:ilvl w:val="0"/>
        </w:numPr>
      </w:pPr>
      <w:r>
        <w:t xml:space="preserve">Life as a Remote Worker</w:t>
      </w:r>
    </w:p>
    <w:p>
      <w:pPr>
        <w:pStyle w:val="Compact"/>
        <w:numPr>
          <w:numId w:val="8"/>
          <w:ilvl w:val="0"/>
        </w:numPr>
      </w:pPr>
      <w:r>
        <w:t xml:space="preserve">Dealing with Excuses</w:t>
      </w:r>
    </w:p>
    <w:p>
      <w:pPr>
        <w:pStyle w:val="Compact"/>
        <w:numPr>
          <w:numId w:val="8"/>
          <w:ilvl w:val="0"/>
        </w:numPr>
      </w:pPr>
      <w:r>
        <w:t xml:space="preserve">The Lean Startup</w:t>
      </w:r>
    </w:p>
    <w:p>
      <w:pPr>
        <w:pStyle w:val="Compact"/>
        <w:numPr>
          <w:numId w:val="8"/>
          <w:ilvl w:val="0"/>
        </w:numPr>
      </w:pPr>
      <w:r>
        <w:t xml:space="preserve">Don't Make Me Think</w:t>
      </w:r>
    </w:p>
    <w:p>
      <w:r>
        <w:t xml:space="preserve">Also see</w:t>
      </w:r>
      <w:r>
        <w:t xml:space="preserve"> </w:t>
      </w:r>
      <w:hyperlink r:id="rId73">
        <w:r>
          <w:rPr>
            <w:rStyle w:val="Link"/>
          </w:rPr>
          <w:t xml:space="preserve">Bill's big list of books</w:t>
        </w:r>
      </w:hyperlink>
      <w:r>
        <w:t xml:space="preserv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99d7fb1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699f482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nsid w:val="9944b8b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2"/>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9" Target="holidays.md" TargetMode="External" /><Relationship Type="http://schemas.openxmlformats.org/officeDocument/2006/relationships/hyperlink" Id="rId28" Target="http://www.gsa.gov/portal/directive/d0/content/663070" TargetMode="External" /><Relationship Type="http://schemas.openxmlformats.org/officeDocument/2006/relationships/hyperlink" Id="rId73" Target="https://gist.github.com/krues8dr/4a947e2a439a54eb22e9" TargetMode="External" /><Relationship Type="http://schemas.openxmlformats.org/officeDocument/2006/relationships/hyperlink" Id="rId27" Target="https://github.com/18F/code-of-conduct/blob/master/code-of-conduct.md" TargetMode="External" /><Relationship Type="http://schemas.openxmlformats.org/officeDocument/2006/relationships/hyperlink" Id="rId41" Target="https://github.com/opengovfoundation/hr-resources/blob/master/markdown/employee-review.md" TargetMode="External" /></Relationships>
</file>

<file path=word/_rels/footnotes.xml.rels><?xml version="1.0" encoding="UTF-8"?>
<Relationships xmlns="http://schemas.openxmlformats.org/package/2006/relationships"><Relationship Type="http://schemas.openxmlformats.org/officeDocument/2006/relationships/hyperlink" Id="rId49" Target="holidays.md" TargetMode="External" /><Relationship Type="http://schemas.openxmlformats.org/officeDocument/2006/relationships/hyperlink" Id="rId28" Target="http://www.gsa.gov/portal/directive/d0/content/663070" TargetMode="External" /><Relationship Type="http://schemas.openxmlformats.org/officeDocument/2006/relationships/hyperlink" Id="rId73" Target="https://gist.github.com/krues8dr/4a947e2a439a54eb22e9" TargetMode="External" /><Relationship Type="http://schemas.openxmlformats.org/officeDocument/2006/relationships/hyperlink" Id="rId27" Target="https://github.com/18F/code-of-conduct/blob/master/code-of-conduct.md" TargetMode="External" /><Relationship Type="http://schemas.openxmlformats.org/officeDocument/2006/relationships/hyperlink" Id="rId41" Target="https://github.com/opengovfoundation/hr-resources/blob/master/markdown/employee-review.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