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182BB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功能需求</w:t>
      </w:r>
    </w:p>
    <w:p w14:paraId="6D13DBCE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53430" cy="1818640"/>
            <wp:effectExtent l="0" t="0" r="127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818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0F4185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75CFF40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br w:type="page"/>
      </w:r>
    </w:p>
    <w:p w14:paraId="3983E31D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二．实施方案</w:t>
      </w:r>
    </w:p>
    <w:p w14:paraId="26F9928B">
      <w:pPr>
        <w:numPr>
          <w:ilvl w:val="0"/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电量检测流程从电压采样开始。系统首先初始化ADC模块，随后连续读取10次ADC采样值。去除其中的最大值和最小值，以消除瞬时干扰的影响。剩余8次采样值取算术平均后，乘以硬件电路的分压系数，最终得到当前电池的实际电压值，单位为毫伏。</w:t>
      </w:r>
    </w:p>
    <w:p w14:paraId="0927069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电压值后，系统进入电量计算阶段。电压-电量映射表基于4.2V锂电池的典型放电曲线构建，涵盖从3000mV对应0%电量到4200mV对应100%电量的关键节点。系统首先判断电压是否超出映射表范围：若低于最低值则直接返回0%，若高于最高值则直接返回100%。对于正常范围内的电压，系统查找其所在的映射区间，然后通过线性插值公式计算出对应的精确电量百分比。</w:t>
      </w:r>
    </w:p>
    <w:p w14:paraId="262D78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ADC采样存在抖动，直接使用测量值会导致电量显示频繁跳变。为此设计平滑过渡机制。首次上电时，当前测量值直接作为显示值。后续每次更新时，系统比较测量值与当前显示值的差异。如果差异连续超过5个百分点，说明电量发生了显著变化，系统直接跳变到新值。如果差异较小，则进一步判断变化方向是否与上次相同，连续三次向同一方向变化时才将显示值增加或减少一个百分点，否则保持当前显示值不变。这种策略既保证了电量变化的响应速度，又有效抑制了因采样抖动引起的显示波动。</w:t>
      </w:r>
    </w:p>
    <w:p w14:paraId="5A6446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电量更新频率根据设备状态动态调整。当设备处于未充电状态时，采用30秒的较长更新周期以降低功耗；当检测到充电器插入后，切换到10秒的较短更新周期，以便及时反映充电过程中的电量变化。</w:t>
      </w:r>
    </w:p>
    <w:p w14:paraId="6698EF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根据平滑处理后的显示电量百分比判定电量等级：0%至5%对应空电量状态，6%至30%为低电量，31%至45%为正常电量，46%至65%为良好电量，66%至85%为高电量，86%及以上为满电量。每个电量等级对应不同的LED指示灯闪烁模式，用于向用户直观展示当前电池状态。系统同时会记录充电状态下的电量等级，供充电指示灯控制模块使用。</w:t>
      </w:r>
    </w:p>
    <w:p w14:paraId="49D8A1E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30846AA6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63BFC15A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0DCE605B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27F121A3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598B91B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0A754692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640A6CA1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350E07C1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0F1D7E4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53BA3CE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0BD2FAC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3E458244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6ADD1D61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1AE11D81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579DCF75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341DFF58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5460D462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3C5183F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65222009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0E62AB65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445231DE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3839210" cy="8853170"/>
            <wp:effectExtent l="0" t="0" r="8890" b="11430"/>
            <wp:docPr id="2" name="图片 2" descr="deepseek_mermaid_20260324_c4c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324_c4c1d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88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BCD759"/>
    <w:multiLevelType w:val="singleLevel"/>
    <w:tmpl w:val="37BCD75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0AD5"/>
    <w:rsid w:val="03004097"/>
    <w:rsid w:val="193D25DF"/>
    <w:rsid w:val="24D42B55"/>
    <w:rsid w:val="694B04B6"/>
    <w:rsid w:val="6C2F3223"/>
    <w:rsid w:val="6C9C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</Words>
  <Characters>138</Characters>
  <Lines>0</Lines>
  <Paragraphs>0</Paragraphs>
  <TotalTime>169</TotalTime>
  <ScaleCrop>false</ScaleCrop>
  <LinksUpToDate>false</LinksUpToDate>
  <CharactersWithSpaces>138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2026-03-20T08:58:00Z</dcterms:created>
  <dc:creator>cao.yang</dc:creator>
  <cp:lastModifiedBy>15196761379</cp:lastModifiedBy>
  <dcterms:modified xsi:type="dcterms:W3CDTF">2026-03-24T08:11:42Z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eyJoZGlkIjoiMmIyYjA1YWE0ZTdhN2Y1OGQ5M2E2OTUwMmExNjQ5YTEiLCJ1c2VySWQiOiI4NDQxNjEyOTIifQ==</vt:lpwstr>
  </property>
  <property fmtid="{D5CDD505-2E9C-101B-9397-08002B2CF9AE}" pid="4" name="ICV">
    <vt:lpwstr>E4AA16B5AB114087B1B191AC6F923F8F_12</vt:lpwstr>
  </property>
</Properties>
</file>