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C0241" w14:textId="77777777" w:rsidR="00D2004A" w:rsidRDefault="00D2004A">
      <w:pPr>
        <w:spacing w:after="480"/>
      </w:pPr>
    </w:p>
    <w:p w14:paraId="79AF6A53" w14:textId="77777777" w:rsidR="00D2004A" w:rsidRDefault="00000000">
      <w:pPr>
        <w:jc w:val="center"/>
      </w:pPr>
      <w:r>
        <w:rPr>
          <w:b/>
          <w:bCs/>
          <w:caps/>
          <w:color w:val="2E75B6"/>
          <w:sz w:val="26"/>
          <w:szCs w:val="26"/>
        </w:rPr>
        <w:t>DATA ENGINEERING PILIPINAS</w:t>
      </w:r>
    </w:p>
    <w:p w14:paraId="598EF5E0" w14:textId="77777777" w:rsidR="00D2004A" w:rsidRDefault="00000000">
      <w:pPr>
        <w:spacing w:after="100"/>
        <w:jc w:val="center"/>
      </w:pPr>
      <w:r>
        <w:rPr>
          <w:color w:val="666666"/>
          <w:sz w:val="23"/>
          <w:szCs w:val="23"/>
        </w:rPr>
        <w:t>Annual Survey 2026</w:t>
      </w:r>
    </w:p>
    <w:p w14:paraId="5C7B78CD" w14:textId="77777777" w:rsidR="00D2004A" w:rsidRDefault="00D2004A">
      <w:pPr>
        <w:pBdr>
          <w:bottom w:val="single" w:sz="8" w:space="1" w:color="2E75B6"/>
        </w:pBdr>
        <w:spacing w:after="120"/>
      </w:pPr>
    </w:p>
    <w:p w14:paraId="07D635EE" w14:textId="77777777" w:rsidR="00D2004A" w:rsidRDefault="00000000">
      <w:pPr>
        <w:pStyle w:val="Heading1"/>
        <w:spacing w:before="200" w:after="100"/>
        <w:jc w:val="center"/>
      </w:pPr>
      <w:r>
        <w:rPr>
          <w:sz w:val="56"/>
          <w:szCs w:val="56"/>
        </w:rPr>
        <w:t>The Career Journey in Philippine Data</w:t>
      </w:r>
    </w:p>
    <w:p w14:paraId="3FDF9CB0" w14:textId="77777777" w:rsidR="00D2004A" w:rsidRDefault="00000000">
      <w:pPr>
        <w:spacing w:after="60"/>
        <w:jc w:val="center"/>
      </w:pPr>
      <w:r>
        <w:rPr>
          <w:i/>
          <w:iCs/>
          <w:color w:val="555555"/>
          <w:sz w:val="24"/>
          <w:szCs w:val="24"/>
        </w:rPr>
        <w:t>What the data tells students, job seekers, career shifters, professionals, and community leaders</w:t>
      </w:r>
    </w:p>
    <w:p w14:paraId="008AF2BE" w14:textId="77777777" w:rsidR="00D2004A" w:rsidRDefault="00D2004A">
      <w:pPr>
        <w:pBdr>
          <w:bottom w:val="single" w:sz="8" w:space="1" w:color="2E75B6"/>
        </w:pBdr>
        <w:spacing w:after="120"/>
      </w:pPr>
    </w:p>
    <w:p w14:paraId="6D8F1E97" w14:textId="77777777" w:rsidR="00D2004A" w:rsidRDefault="00D2004A">
      <w:pPr>
        <w:spacing w:after="200"/>
      </w:pPr>
    </w:p>
    <w:p w14:paraId="26957035" w14:textId="77777777" w:rsidR="00D2004A" w:rsidRDefault="00000000">
      <w:pPr>
        <w:jc w:val="center"/>
      </w:pPr>
      <w:r>
        <w:rPr>
          <w:i/>
          <w:iCs/>
          <w:color w:val="888888"/>
          <w:sz w:val="19"/>
          <w:szCs w:val="19"/>
        </w:rPr>
        <w:t>All figures cited are statistically significant at 95% confidence. Significance is tested pairwise within each break group. n = 1,732 respondents.</w:t>
      </w:r>
    </w:p>
    <w:p w14:paraId="4DFE6F1B" w14:textId="77777777" w:rsidR="00D2004A" w:rsidRDefault="00D2004A">
      <w:pPr>
        <w:spacing w:after="120"/>
      </w:pPr>
    </w:p>
    <w:p w14:paraId="34F92E15" w14:textId="77777777" w:rsidR="00D2004A" w:rsidRDefault="00000000">
      <w:r>
        <w:br w:type="page"/>
      </w:r>
    </w:p>
    <w:p w14:paraId="5669BC36" w14:textId="77777777" w:rsidR="00D2004A" w:rsidRDefault="00000000">
      <w:pPr>
        <w:pStyle w:val="Heading1"/>
      </w:pPr>
      <w:r>
        <w:lastRenderedPageBreak/>
        <w:t>Introduction</w:t>
      </w:r>
    </w:p>
    <w:p w14:paraId="316642A1" w14:textId="77777777" w:rsidR="00D2004A" w:rsidRDefault="00000000">
      <w:pPr>
        <w:spacing w:before="60" w:after="60"/>
      </w:pPr>
      <w:r>
        <w:t>The DEP Annual Survey 2026 reached 1,732 respondents across every stage of the Philippine data career — students finishing degrees, job seekers waiting for their first break, career shifters pivoting from other fields, and professionals pushing for the next level.</w:t>
      </w:r>
    </w:p>
    <w:p w14:paraId="3B16DA41" w14:textId="77777777" w:rsidR="00D2004A" w:rsidRDefault="00D2004A">
      <w:pPr>
        <w:spacing w:after="80"/>
      </w:pPr>
    </w:p>
    <w:p w14:paraId="76BFB931" w14:textId="77777777" w:rsidR="00D2004A" w:rsidRDefault="00000000">
      <w:pPr>
        <w:spacing w:before="60" w:after="60"/>
      </w:pPr>
      <w:r>
        <w:t>This report organises the significant findings into a single career journey narrative, written for four audiences: those trying to break in, those making a pivot, those climbing further, and the community leaders trying to build something that helps all of them.</w:t>
      </w:r>
    </w:p>
    <w:p w14:paraId="343074E1" w14:textId="77777777" w:rsidR="00D2004A" w:rsidRDefault="00D2004A">
      <w:pPr>
        <w:spacing w:after="80"/>
      </w:pPr>
    </w:p>
    <w:p w14:paraId="42009AC1" w14:textId="77777777" w:rsidR="00D2004A" w:rsidRDefault="00000000">
      <w:pPr>
        <w:spacing w:before="60" w:after="60"/>
      </w:pPr>
      <w:r>
        <w:t>Every number cited below passed a pairwise z-test at 95% confidence. These are not averages — they are signals.</w:t>
      </w:r>
    </w:p>
    <w:p w14:paraId="2C3DAEBD" w14:textId="77777777" w:rsidR="00D2004A" w:rsidRDefault="00D2004A">
      <w:pPr>
        <w:spacing w:after="120"/>
      </w:pPr>
    </w:p>
    <w:p w14:paraId="55654D38" w14:textId="77777777" w:rsidR="00D2004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004A" w14:paraId="6389EA6C"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280" w:type="dxa"/>
              <w:bottom w:w="160" w:type="dxa"/>
              <w:right w:w="280" w:type="dxa"/>
            </w:tcMar>
          </w:tcPr>
          <w:p w14:paraId="2A503EE7" w14:textId="77777777" w:rsidR="00D2004A" w:rsidRDefault="00000000">
            <w:r>
              <w:rPr>
                <w:b/>
                <w:bCs/>
                <w:color w:val="FFFFFF"/>
                <w:sz w:val="32"/>
                <w:szCs w:val="32"/>
              </w:rPr>
              <w:lastRenderedPageBreak/>
              <w:t>PART 1</w:t>
            </w:r>
            <w:r>
              <w:rPr>
                <w:color w:val="CCDDEE"/>
              </w:rPr>
              <w:t xml:space="preserve">   For Students and Job Seekers</w:t>
            </w:r>
          </w:p>
        </w:tc>
      </w:tr>
    </w:tbl>
    <w:p w14:paraId="3CF32E84" w14:textId="77777777" w:rsidR="00D2004A" w:rsidRDefault="00D2004A">
      <w:pPr>
        <w:spacing w:after="80"/>
      </w:pPr>
    </w:p>
    <w:p w14:paraId="584C4C67" w14:textId="77777777" w:rsidR="00D2004A" w:rsidRDefault="00000000">
      <w:pPr>
        <w:pStyle w:val="Heading1"/>
      </w:pPr>
      <w:r>
        <w:t>Breaking In: Roles, Industries, Job Hunting, and Salary</w:t>
      </w:r>
    </w:p>
    <w:p w14:paraId="021BEC14" w14:textId="77777777" w:rsidR="00D2004A" w:rsidRDefault="00000000">
      <w:pPr>
        <w:pBdr>
          <w:left w:val="single" w:sz="20" w:space="8" w:color="1F3864"/>
        </w:pBdr>
        <w:spacing w:before="80" w:after="80"/>
        <w:ind w:left="480"/>
      </w:pPr>
      <w:r>
        <w:rPr>
          <w:i/>
          <w:iCs/>
          <w:color w:val="1F3864"/>
        </w:rPr>
        <w:t>"What are the data roles out there in industries? What will increase the odds of successful job hunting and landing a job? What salary ranges should I expect?"</w:t>
      </w:r>
    </w:p>
    <w:p w14:paraId="043C7AE2" w14:textId="77777777" w:rsidR="00D2004A" w:rsidRDefault="00D2004A">
      <w:pPr>
        <w:spacing w:after="120"/>
      </w:pPr>
    </w:p>
    <w:p w14:paraId="1F42EBC0" w14:textId="77777777" w:rsidR="00D2004A" w:rsidRDefault="00000000">
      <w:pPr>
        <w:pStyle w:val="Heading2"/>
      </w:pPr>
      <w:r>
        <w:t>The Three Roles You Are Competing For</w:t>
      </w:r>
    </w:p>
    <w:p w14:paraId="655ADF55" w14:textId="77777777" w:rsidR="00D2004A" w:rsidRDefault="00000000">
      <w:pPr>
        <w:spacing w:before="60" w:after="60"/>
      </w:pPr>
      <w:r>
        <w:t>The dominant employed roles in the survey are Data Analysis &amp; Insights (DA), Data Engineering (DE), and Software Engineering (SE). Each has a distinct profile:</w:t>
      </w:r>
    </w:p>
    <w:p w14:paraId="6A36B27B" w14:textId="77777777" w:rsidR="00D2004A" w:rsidRDefault="00D2004A">
      <w:pPr>
        <w:spacing w:after="80"/>
      </w:pPr>
    </w:p>
    <w:p w14:paraId="4F69FEBC" w14:textId="77777777" w:rsidR="00D2004A" w:rsidRDefault="00000000">
      <w:pPr>
        <w:pStyle w:val="ListParagraph"/>
        <w:numPr>
          <w:ilvl w:val="0"/>
          <w:numId w:val="2"/>
        </w:numPr>
        <w:spacing w:before="40" w:after="40"/>
      </w:pPr>
      <w:r>
        <w:rPr>
          <w:b/>
          <w:bCs/>
          <w:color w:val="2E75B6"/>
        </w:rPr>
        <w:t>DA (Data Analysis &amp; Insights) is the multinational's workhorse: 41.1% of DA practitioners work at a multinational employer — significantly higher than DE or SE. It skews female (26.6% of DA are female vs. lower in DE), and it is heavily full-time (79.9% employed full-time, significantly higher than career shifters).</w:t>
      </w:r>
    </w:p>
    <w:p w14:paraId="305E5B46" w14:textId="77777777" w:rsidR="00D2004A" w:rsidRDefault="00000000">
      <w:pPr>
        <w:pStyle w:val="ListParagraph"/>
        <w:numPr>
          <w:ilvl w:val="0"/>
          <w:numId w:val="2"/>
        </w:numPr>
        <w:spacing w:before="40" w:after="40"/>
      </w:pPr>
      <w:r>
        <w:rPr>
          <w:b/>
          <w:bCs/>
          <w:color w:val="2E75B6"/>
        </w:rPr>
        <w:t>DE (Data Engineering) has the highest full-time rate of any role — 90.0% of DE practitioners are full-time, significantly higher than SE. It is male-dominated (14.1% of males are in DE vs. lower for females) and concentrates in foreign and multinational employers at the higher salary bands.</w:t>
      </w:r>
    </w:p>
    <w:p w14:paraId="2EE05244" w14:textId="77777777" w:rsidR="00D2004A" w:rsidRDefault="00000000">
      <w:pPr>
        <w:pStyle w:val="ListParagraph"/>
        <w:numPr>
          <w:ilvl w:val="0"/>
          <w:numId w:val="2"/>
        </w:numPr>
        <w:spacing w:before="40" w:after="40"/>
      </w:pPr>
      <w:r>
        <w:rPr>
          <w:color w:val="111111"/>
        </w:rPr>
        <w:t>SE (Software Engineering) is the most side-gig-friendly role (35.7% had a side gig in the past 12 months, significantly higher than DA and DE) and has the highest freelance rate among the three.</w:t>
      </w:r>
    </w:p>
    <w:p w14:paraId="6EC0B944" w14:textId="77777777" w:rsidR="00D2004A" w:rsidRDefault="00D2004A">
      <w:pPr>
        <w:spacing w:after="120"/>
      </w:pPr>
    </w:p>
    <w:p w14:paraId="7290593D" w14:textId="77777777" w:rsidR="00D2004A" w:rsidRDefault="00000000">
      <w:pPr>
        <w:pStyle w:val="Heading2"/>
      </w:pPr>
      <w:r>
        <w:t>Which Industries Have the Most Jobs?</w:t>
      </w:r>
    </w:p>
    <w:p w14:paraId="26BC7CF6" w14:textId="77777777" w:rsidR="00D2004A" w:rsidRDefault="00000000">
      <w:pPr>
        <w:spacing w:before="60" w:after="60"/>
      </w:pPr>
      <w:r>
        <w:t>IT, BPO, and Business Services is the dominant employer across almost every professional segment — particularly for multinationals (44.0%) and foreign companies (32.7%), both significantly higher than local employers. Banking/Finance/Insurance is the second-strongest sector, especially for DA roles (18.1%) and hybrid workers (18.7%).</w:t>
      </w:r>
    </w:p>
    <w:p w14:paraId="2812B053" w14:textId="77777777" w:rsidR="00D2004A" w:rsidRDefault="00D2004A">
      <w:pPr>
        <w:spacing w:after="80"/>
      </w:pPr>
    </w:p>
    <w:p w14:paraId="70033A83" w14:textId="77777777" w:rsidR="00D2004A" w:rsidRDefault="00000000">
      <w:pPr>
        <w:spacing w:before="60" w:after="60"/>
      </w:pPr>
      <w:r>
        <w:t>For students and new graduates specifically, the data highlights three sectors worth targeting early:</w:t>
      </w:r>
    </w:p>
    <w:p w14:paraId="46E8B60A" w14:textId="77777777" w:rsidR="00D2004A" w:rsidRDefault="00000000">
      <w:pPr>
        <w:pStyle w:val="ListParagraph"/>
        <w:numPr>
          <w:ilvl w:val="0"/>
          <w:numId w:val="2"/>
        </w:numPr>
        <w:spacing w:before="40" w:after="40"/>
      </w:pPr>
      <w:r>
        <w:rPr>
          <w:color w:val="111111"/>
        </w:rPr>
        <w:t>Government shows significantly higher concentration among 20–24-year-olds (8.0%) and the 35–39 cohort (10.6%) than mid-career groups — it has an active early-entry pipeline, especially for onsite roles.</w:t>
      </w:r>
    </w:p>
    <w:p w14:paraId="689C809C" w14:textId="77777777" w:rsidR="00D2004A" w:rsidRDefault="00000000">
      <w:pPr>
        <w:pStyle w:val="ListParagraph"/>
        <w:numPr>
          <w:ilvl w:val="0"/>
          <w:numId w:val="2"/>
        </w:numPr>
        <w:spacing w:before="40" w:after="40"/>
      </w:pPr>
      <w:r>
        <w:rPr>
          <w:color w:val="111111"/>
        </w:rPr>
        <w:t>Manufacturing concentrates among 20–24-year-olds (8.8%) and career shifters (6.6%), both significantly higher than the 25–34 age bands. Entry-level technical roles exist here.</w:t>
      </w:r>
    </w:p>
    <w:p w14:paraId="56FEDEDA" w14:textId="77777777" w:rsidR="00D2004A" w:rsidRDefault="00000000">
      <w:pPr>
        <w:pStyle w:val="ListParagraph"/>
        <w:numPr>
          <w:ilvl w:val="0"/>
          <w:numId w:val="2"/>
        </w:numPr>
        <w:spacing w:before="40" w:after="40"/>
      </w:pPr>
      <w:r>
        <w:rPr>
          <w:color w:val="111111"/>
        </w:rPr>
        <w:t>Research is significantly elevated among 20–24-year-olds (5.6%) and PT/Contract/Freelance workers (5.7%). Academic and research institutions hire early.</w:t>
      </w:r>
    </w:p>
    <w:p w14:paraId="0AB8268B" w14:textId="77777777" w:rsidR="00D2004A" w:rsidRDefault="00D2004A">
      <w:pPr>
        <w:spacing w:after="120"/>
      </w:pPr>
    </w:p>
    <w:p w14:paraId="55AB51B3" w14:textId="77777777" w:rsidR="00D2004A" w:rsidRDefault="00000000">
      <w:pPr>
        <w:pStyle w:val="Heading2"/>
      </w:pPr>
      <w:r>
        <w:t>How People Actually Find Jobs: The Channel Map</w:t>
      </w:r>
    </w:p>
    <w:p w14:paraId="286A2A81" w14:textId="77777777" w:rsidR="00D2004A" w:rsidRDefault="00000000">
      <w:pPr>
        <w:spacing w:before="60" w:after="60"/>
      </w:pPr>
      <w:r>
        <w:t>The successmethod data is one of the clearest sections in the entire survey. Use it as a channel strategy:</w:t>
      </w:r>
    </w:p>
    <w:p w14:paraId="0BED4E9D"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099682DC" w14:textId="77777777">
        <w:tblPrEx>
          <w:tblCellMar>
            <w:top w:w="0" w:type="dxa"/>
            <w:bottom w:w="0" w:type="dxa"/>
          </w:tblCellMar>
        </w:tblPrEx>
        <w:tc>
          <w:tcPr>
            <w:tcW w:w="1720" w:type="dxa"/>
            <w:tcBorders>
              <w:top w:val="single" w:sz="6" w:space="0" w:color="2E75B6"/>
              <w:left w:val="single" w:sz="6" w:space="0" w:color="2E75B6"/>
              <w:bottom w:val="single" w:sz="6" w:space="0" w:color="2E75B6"/>
            </w:tcBorders>
            <w:shd w:val="clear" w:color="auto" w:fill="2E75B6"/>
            <w:tcMar>
              <w:top w:w="100" w:type="dxa"/>
              <w:left w:w="120" w:type="dxa"/>
              <w:bottom w:w="100" w:type="dxa"/>
              <w:right w:w="120" w:type="dxa"/>
            </w:tcMar>
            <w:vAlign w:val="center"/>
          </w:tcPr>
          <w:p w14:paraId="29ED95E8" w14:textId="77777777" w:rsidR="00D2004A" w:rsidRDefault="00000000">
            <w:pPr>
              <w:jc w:val="center"/>
            </w:pPr>
            <w:r>
              <w:rPr>
                <w:b/>
                <w:bCs/>
                <w:color w:val="FFFFFF"/>
                <w:sz w:val="52"/>
                <w:szCs w:val="52"/>
              </w:rPr>
              <w:lastRenderedPageBreak/>
              <w:t>74.6%</w:t>
            </w:r>
          </w:p>
        </w:tc>
        <w:tc>
          <w:tcPr>
            <w:tcW w:w="7640" w:type="dxa"/>
            <w:tcBorders>
              <w:top w:val="single" w:sz="6" w:space="0" w:color="2E75B6"/>
              <w:bottom w:val="single" w:sz="6" w:space="0" w:color="2E75B6"/>
              <w:right w:val="single" w:sz="6" w:space="0" w:color="2E75B6"/>
            </w:tcBorders>
            <w:shd w:val="clear" w:color="auto" w:fill="EDF3FB"/>
            <w:tcMar>
              <w:top w:w="100" w:type="dxa"/>
              <w:left w:w="200" w:type="dxa"/>
              <w:bottom w:w="100" w:type="dxa"/>
              <w:right w:w="120" w:type="dxa"/>
            </w:tcMar>
          </w:tcPr>
          <w:p w14:paraId="1A9CB9F4" w14:textId="77777777" w:rsidR="00D2004A" w:rsidRDefault="00000000">
            <w:r>
              <w:t>of professionals use LinkedIn to find work — significantly higher than career shifters. Among DE practitioners it reaches 80.5%. LinkedIn is not optional.</w:t>
            </w:r>
          </w:p>
        </w:tc>
      </w:tr>
    </w:tbl>
    <w:p w14:paraId="6E26F4C1"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5F588007" w14:textId="77777777">
        <w:tblPrEx>
          <w:tblCellMar>
            <w:top w:w="0" w:type="dxa"/>
            <w:bottom w:w="0" w:type="dxa"/>
          </w:tblCellMar>
        </w:tblPrEx>
        <w:tc>
          <w:tcPr>
            <w:tcW w:w="1720" w:type="dxa"/>
            <w:tcBorders>
              <w:top w:val="single" w:sz="6" w:space="0" w:color="1F3864"/>
              <w:left w:val="single" w:sz="6" w:space="0" w:color="1F3864"/>
              <w:bottom w:val="single" w:sz="6" w:space="0" w:color="1F3864"/>
            </w:tcBorders>
            <w:shd w:val="clear" w:color="auto" w:fill="1F3864"/>
            <w:tcMar>
              <w:top w:w="100" w:type="dxa"/>
              <w:left w:w="120" w:type="dxa"/>
              <w:bottom w:w="100" w:type="dxa"/>
              <w:right w:w="120" w:type="dxa"/>
            </w:tcMar>
            <w:vAlign w:val="center"/>
          </w:tcPr>
          <w:p w14:paraId="67889136" w14:textId="77777777" w:rsidR="00D2004A" w:rsidRDefault="00000000">
            <w:pPr>
              <w:jc w:val="center"/>
            </w:pPr>
            <w:r>
              <w:rPr>
                <w:b/>
                <w:bCs/>
                <w:color w:val="FFFFFF"/>
                <w:sz w:val="52"/>
                <w:szCs w:val="52"/>
              </w:rPr>
              <w:t>47.4%</w:t>
            </w:r>
          </w:p>
        </w:tc>
        <w:tc>
          <w:tcPr>
            <w:tcW w:w="7640" w:type="dxa"/>
            <w:tcBorders>
              <w:top w:val="single" w:sz="6" w:space="0" w:color="1F3864"/>
              <w:bottom w:val="single" w:sz="6" w:space="0" w:color="1F3864"/>
              <w:right w:val="single" w:sz="6" w:space="0" w:color="1F3864"/>
            </w:tcBorders>
            <w:shd w:val="clear" w:color="auto" w:fill="EDF3FB"/>
            <w:tcMar>
              <w:top w:w="100" w:type="dxa"/>
              <w:left w:w="200" w:type="dxa"/>
              <w:bottom w:w="100" w:type="dxa"/>
              <w:right w:w="120" w:type="dxa"/>
            </w:tcMar>
          </w:tcPr>
          <w:p w14:paraId="7D37C39E" w14:textId="77777777" w:rsidR="00D2004A" w:rsidRDefault="00000000">
            <w:r>
              <w:t>of 20–24-year-olds use Indeed — significantly higher than older age groups. For entry-level technical roles, Indeed is the primary complement to LinkedIn.</w:t>
            </w:r>
          </w:p>
        </w:tc>
      </w:tr>
    </w:tbl>
    <w:p w14:paraId="613481A7" w14:textId="77777777" w:rsidR="00D2004A" w:rsidRDefault="00D2004A">
      <w:pPr>
        <w:spacing w:after="80"/>
      </w:pPr>
    </w:p>
    <w:p w14:paraId="365EE033" w14:textId="77777777" w:rsidR="00D2004A" w:rsidRDefault="00000000">
      <w:pPr>
        <w:pStyle w:val="ListParagraph"/>
        <w:numPr>
          <w:ilvl w:val="0"/>
          <w:numId w:val="2"/>
        </w:numPr>
        <w:spacing w:before="40" w:after="40"/>
      </w:pPr>
      <w:r>
        <w:rPr>
          <w:color w:val="111111"/>
        </w:rPr>
        <w:t>Jobstreet: 42.7% for local employers and 35.5% for multinational employers, both significantly higher than foreign employers. Use Jobstreet for domestic companies.</w:t>
      </w:r>
    </w:p>
    <w:p w14:paraId="70CBDA05" w14:textId="77777777" w:rsidR="00D2004A" w:rsidRDefault="00000000">
      <w:pPr>
        <w:pStyle w:val="ListParagraph"/>
        <w:numPr>
          <w:ilvl w:val="0"/>
          <w:numId w:val="2"/>
        </w:numPr>
        <w:spacing w:before="40" w:after="40"/>
      </w:pPr>
      <w:r>
        <w:rPr>
          <w:color w:val="111111"/>
        </w:rPr>
        <w:t>OnlineJobs.ph: 7.7% among career shifters and 15.1% among foreign-employer respondents — both significantly elevated. For those targeting foreign remote work, OnlineJobs is in the toolkit.</w:t>
      </w:r>
    </w:p>
    <w:p w14:paraId="5777D552" w14:textId="77777777" w:rsidR="00D2004A" w:rsidRDefault="00000000">
      <w:pPr>
        <w:pStyle w:val="ListParagraph"/>
        <w:numPr>
          <w:ilvl w:val="0"/>
          <w:numId w:val="2"/>
        </w:numPr>
        <w:spacing w:before="40" w:after="40"/>
      </w:pPr>
      <w:r>
        <w:rPr>
          <w:color w:val="111111"/>
        </w:rPr>
        <w:t>Referrals: Significantly more common among PT/Contract/Freelance workers (16.4%). Your network matters most when you are working independently.</w:t>
      </w:r>
    </w:p>
    <w:p w14:paraId="2B3F8D06" w14:textId="77777777" w:rsidR="00D2004A" w:rsidRDefault="00000000">
      <w:pPr>
        <w:pStyle w:val="ListParagraph"/>
        <w:numPr>
          <w:ilvl w:val="0"/>
          <w:numId w:val="2"/>
        </w:numPr>
        <w:spacing w:before="40" w:after="40"/>
      </w:pPr>
      <w:r>
        <w:rPr>
          <w:color w:val="111111"/>
        </w:rPr>
        <w:t>Upwork: 7.9% among foreign-employer respondents and 10.3% among PT/Contract/Freelance — the freelance platform path to foreign engagements.</w:t>
      </w:r>
    </w:p>
    <w:p w14:paraId="4011D7AD" w14:textId="77777777" w:rsidR="00D2004A" w:rsidRDefault="00D2004A">
      <w:pPr>
        <w:spacing w:after="120"/>
      </w:pPr>
    </w:p>
    <w:p w14:paraId="078BE00B" w14:textId="77777777" w:rsidR="00D2004A" w:rsidRDefault="00000000">
      <w:pPr>
        <w:pStyle w:val="Heading2"/>
      </w:pPr>
      <w:r>
        <w:t>What Credentials Actually Matter?</w:t>
      </w:r>
    </w:p>
    <w:p w14:paraId="1C1EB175" w14:textId="77777777" w:rsidR="00D2004A" w:rsidRDefault="00000000">
      <w:pPr>
        <w:spacing w:before="60" w:after="60"/>
      </w:pPr>
      <w:r>
        <w:t>A Bachelor's degree is the minimum bar — 88.4% of professionals and 89.2% of job seekers hold one, both significantly higher than students still studying. But the field of study creates differentiation by role:</w:t>
      </w:r>
    </w:p>
    <w:p w14:paraId="608A9677" w14:textId="77777777" w:rsidR="00D2004A" w:rsidRDefault="00D2004A">
      <w:pPr>
        <w:spacing w:after="80"/>
      </w:pPr>
    </w:p>
    <w:p w14:paraId="3FBB3F94" w14:textId="77777777" w:rsidR="00D2004A" w:rsidRDefault="00000000">
      <w:pPr>
        <w:pStyle w:val="ListParagraph"/>
        <w:numPr>
          <w:ilvl w:val="0"/>
          <w:numId w:val="2"/>
        </w:numPr>
        <w:spacing w:before="40" w:after="40"/>
      </w:pPr>
      <w:r>
        <w:rPr>
          <w:color w:val="111111"/>
        </w:rPr>
        <w:t>BS Computer Science dominates among DE practitioners, SE practitioners, and students (37.3% of students). Males show significantly higher CS degree rates than females.</w:t>
      </w:r>
    </w:p>
    <w:p w14:paraId="0D82DD45" w14:textId="77777777" w:rsidR="00D2004A" w:rsidRDefault="00000000">
      <w:pPr>
        <w:pStyle w:val="ListParagraph"/>
        <w:numPr>
          <w:ilvl w:val="0"/>
          <w:numId w:val="2"/>
        </w:numPr>
        <w:spacing w:before="40" w:after="40"/>
      </w:pPr>
      <w:r>
        <w:rPr>
          <w:color w:val="111111"/>
        </w:rPr>
        <w:t>BS Electronics and Communications Engineering is significantly more common among career shifters (24.4% vs. professionals) — it is a frequent launch pad for the pivot into data.</w:t>
      </w:r>
    </w:p>
    <w:p w14:paraId="706F64FF" w14:textId="77777777" w:rsidR="00D2004A" w:rsidRDefault="00000000">
      <w:pPr>
        <w:pStyle w:val="ListParagraph"/>
        <w:numPr>
          <w:ilvl w:val="0"/>
          <w:numId w:val="2"/>
        </w:numPr>
        <w:spacing w:before="40" w:after="40"/>
      </w:pPr>
      <w:r>
        <w:rPr>
          <w:color w:val="111111"/>
        </w:rPr>
        <w:t>BS Applied Mathematics/Statistics is significantly higher in DA (13.5% and 5.8% respectively) vs. DE and SE. This is the analytics-heavy credential path.</w:t>
      </w:r>
    </w:p>
    <w:p w14:paraId="7C828F08" w14:textId="77777777" w:rsidR="00D2004A" w:rsidRDefault="00000000">
      <w:pPr>
        <w:pStyle w:val="ListParagraph"/>
        <w:numPr>
          <w:ilvl w:val="0"/>
          <w:numId w:val="2"/>
        </w:numPr>
        <w:spacing w:before="40" w:after="40"/>
      </w:pPr>
      <w:r>
        <w:rPr>
          <w:color w:val="111111"/>
        </w:rPr>
        <w:t>Not having a CS or data degree: 58.4% of career shifters, significantly more than any other group. A non-CS background is the norm for shifters, not the exception.</w:t>
      </w:r>
    </w:p>
    <w:p w14:paraId="37B6249C" w14:textId="77777777" w:rsidR="00D2004A" w:rsidRDefault="00D2004A">
      <w:pPr>
        <w:spacing w:after="80"/>
      </w:pPr>
    </w:p>
    <w:p w14:paraId="61A75481" w14:textId="77777777" w:rsidR="00D2004A" w:rsidRDefault="00000000">
      <w:pPr>
        <w:pBdr>
          <w:left w:val="single" w:sz="14" w:space="6" w:color="833C00"/>
        </w:pBdr>
        <w:spacing w:before="80" w:after="80"/>
        <w:ind w:left="360"/>
      </w:pPr>
      <w:r>
        <w:rPr>
          <w:b/>
          <w:bCs/>
          <w:color w:val="833C00"/>
        </w:rPr>
        <w:t xml:space="preserve">Key signal: </w:t>
      </w:r>
      <w:r>
        <w:t>SE practitioners have an 83.9% comp/data degree rate — the highest of any role, significantly above DA (52.8%). For software-adjacent data work, the CS degree is nearly a prerequisite. For DA, it is less critical.</w:t>
      </w:r>
    </w:p>
    <w:p w14:paraId="6B61BEEA" w14:textId="77777777" w:rsidR="00D2004A" w:rsidRDefault="00D2004A">
      <w:pPr>
        <w:spacing w:after="120"/>
      </w:pPr>
    </w:p>
    <w:p w14:paraId="1FE5FFFC" w14:textId="77777777" w:rsidR="00D2004A" w:rsidRDefault="00000000">
      <w:pPr>
        <w:pStyle w:val="Heading2"/>
      </w:pPr>
      <w:r>
        <w:t>What Salary Should You Expect?</w:t>
      </w:r>
    </w:p>
    <w:p w14:paraId="559A2C74" w14:textId="77777777" w:rsidR="00D2004A" w:rsidRDefault="00000000">
      <w:pPr>
        <w:spacing w:before="60" w:after="60"/>
      </w:pPr>
      <w:r>
        <w:t>Entry-level expectations from the 20–24 data:</w:t>
      </w:r>
    </w:p>
    <w:p w14:paraId="16A84A0A"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35EAEC5F" w14:textId="77777777">
        <w:tblPrEx>
          <w:tblCellMar>
            <w:top w:w="0" w:type="dxa"/>
            <w:bottom w:w="0" w:type="dxa"/>
          </w:tblCellMar>
        </w:tblPrEx>
        <w:tc>
          <w:tcPr>
            <w:tcW w:w="1720" w:type="dxa"/>
            <w:tcBorders>
              <w:top w:val="single" w:sz="6" w:space="0" w:color="2E75B6"/>
              <w:left w:val="single" w:sz="6" w:space="0" w:color="2E75B6"/>
              <w:bottom w:val="single" w:sz="6" w:space="0" w:color="2E75B6"/>
            </w:tcBorders>
            <w:shd w:val="clear" w:color="auto" w:fill="2E75B6"/>
            <w:tcMar>
              <w:top w:w="100" w:type="dxa"/>
              <w:left w:w="120" w:type="dxa"/>
              <w:bottom w:w="100" w:type="dxa"/>
              <w:right w:w="120" w:type="dxa"/>
            </w:tcMar>
            <w:vAlign w:val="center"/>
          </w:tcPr>
          <w:p w14:paraId="512D2AB0" w14:textId="77777777" w:rsidR="00D2004A" w:rsidRDefault="00000000">
            <w:pPr>
              <w:jc w:val="center"/>
            </w:pPr>
            <w:r>
              <w:rPr>
                <w:b/>
                <w:bCs/>
                <w:color w:val="FFFFFF"/>
                <w:sz w:val="52"/>
                <w:szCs w:val="52"/>
              </w:rPr>
              <w:t>35.5%</w:t>
            </w:r>
          </w:p>
        </w:tc>
        <w:tc>
          <w:tcPr>
            <w:tcW w:w="7640" w:type="dxa"/>
            <w:tcBorders>
              <w:top w:val="single" w:sz="6" w:space="0" w:color="2E75B6"/>
              <w:bottom w:val="single" w:sz="6" w:space="0" w:color="2E75B6"/>
              <w:right w:val="single" w:sz="6" w:space="0" w:color="2E75B6"/>
            </w:tcBorders>
            <w:shd w:val="clear" w:color="auto" w:fill="EDF3FB"/>
            <w:tcMar>
              <w:top w:w="100" w:type="dxa"/>
              <w:left w:w="200" w:type="dxa"/>
              <w:bottom w:w="100" w:type="dxa"/>
              <w:right w:w="120" w:type="dxa"/>
            </w:tcMar>
          </w:tcPr>
          <w:p w14:paraId="4CCB7F99" w14:textId="77777777" w:rsidR="00D2004A" w:rsidRDefault="00000000">
            <w:r>
              <w:t>of 20–24-year-olds land in the ₱15k–₱25k band — the single largest salary bucket for this age group, significantly higher than every older cohort.</w:t>
            </w:r>
          </w:p>
        </w:tc>
      </w:tr>
    </w:tbl>
    <w:p w14:paraId="107ABF8C"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79450476" w14:textId="77777777">
        <w:tblPrEx>
          <w:tblCellMar>
            <w:top w:w="0" w:type="dxa"/>
            <w:bottom w:w="0" w:type="dxa"/>
          </w:tblCellMar>
        </w:tblPrEx>
        <w:tc>
          <w:tcPr>
            <w:tcW w:w="1720" w:type="dxa"/>
            <w:tcBorders>
              <w:top w:val="single" w:sz="6" w:space="0" w:color="1F3864"/>
              <w:left w:val="single" w:sz="6" w:space="0" w:color="1F3864"/>
              <w:bottom w:val="single" w:sz="6" w:space="0" w:color="1F3864"/>
            </w:tcBorders>
            <w:shd w:val="clear" w:color="auto" w:fill="1F3864"/>
            <w:tcMar>
              <w:top w:w="100" w:type="dxa"/>
              <w:left w:w="120" w:type="dxa"/>
              <w:bottom w:w="100" w:type="dxa"/>
              <w:right w:w="120" w:type="dxa"/>
            </w:tcMar>
            <w:vAlign w:val="center"/>
          </w:tcPr>
          <w:p w14:paraId="501318D4" w14:textId="77777777" w:rsidR="00D2004A" w:rsidRDefault="00000000">
            <w:pPr>
              <w:jc w:val="center"/>
            </w:pPr>
            <w:r>
              <w:rPr>
                <w:b/>
                <w:bCs/>
                <w:color w:val="FFFFFF"/>
                <w:sz w:val="52"/>
                <w:szCs w:val="52"/>
              </w:rPr>
              <w:t>25.5%</w:t>
            </w:r>
          </w:p>
        </w:tc>
        <w:tc>
          <w:tcPr>
            <w:tcW w:w="7640" w:type="dxa"/>
            <w:tcBorders>
              <w:top w:val="single" w:sz="6" w:space="0" w:color="1F3864"/>
              <w:bottom w:val="single" w:sz="6" w:space="0" w:color="1F3864"/>
              <w:right w:val="single" w:sz="6" w:space="0" w:color="1F3864"/>
            </w:tcBorders>
            <w:shd w:val="clear" w:color="auto" w:fill="EDF3FB"/>
            <w:tcMar>
              <w:top w:w="100" w:type="dxa"/>
              <w:left w:w="200" w:type="dxa"/>
              <w:bottom w:w="100" w:type="dxa"/>
              <w:right w:w="120" w:type="dxa"/>
            </w:tcMar>
          </w:tcPr>
          <w:p w14:paraId="07AC54FC" w14:textId="77777777" w:rsidR="00D2004A" w:rsidRDefault="00000000">
            <w:r>
              <w:t>earn ₱25k–₱35k. Most fresh entrants land between ₱15k and ₱35k gross.</w:t>
            </w:r>
          </w:p>
        </w:tc>
      </w:tr>
    </w:tbl>
    <w:p w14:paraId="67C9168E" w14:textId="77777777" w:rsidR="00D2004A" w:rsidRDefault="00D2004A">
      <w:pPr>
        <w:spacing w:after="80"/>
      </w:pPr>
    </w:p>
    <w:p w14:paraId="287330CF" w14:textId="77777777" w:rsidR="00D2004A" w:rsidRDefault="00000000">
      <w:pPr>
        <w:spacing w:before="60" w:after="60"/>
      </w:pPr>
      <w:r>
        <w:t>Employer type matters from day one. Local employers concentrate at lower salary bands (₱15k–₱25k at 25.8%, ₱25k–₱35k at 25.1% — both significantly higher than multinationals). Multinationals and foreign employers start paying significantly more at the ₱45k+ tier. Targeting a multinational or foreign employer as your first employer — even at a lower title — is a salary strategy.</w:t>
      </w:r>
    </w:p>
    <w:p w14:paraId="66244C44" w14:textId="77777777" w:rsidR="00D2004A" w:rsidRDefault="00D2004A">
      <w:pPr>
        <w:spacing w:after="80"/>
      </w:pPr>
    </w:p>
    <w:p w14:paraId="198EA918" w14:textId="77777777" w:rsidR="00D2004A" w:rsidRDefault="00000000">
      <w:pPr>
        <w:pBdr>
          <w:left w:val="single" w:sz="14" w:space="6" w:color="1F5C2E"/>
        </w:pBdr>
        <w:spacing w:before="80" w:after="80"/>
        <w:ind w:left="360"/>
      </w:pPr>
      <w:r>
        <w:rPr>
          <w:b/>
          <w:bCs/>
          <w:color w:val="1F5C2E"/>
        </w:rPr>
        <w:t xml:space="preserve">Tenure signal: </w:t>
      </w:r>
      <w:r>
        <w:t>32.6% of 20–24-year-olds have been in their current salary band for 3 months or less — the highest of any age group. Early career moves fast. Do not anchor too hard on your first number.</w:t>
      </w:r>
    </w:p>
    <w:p w14:paraId="10F9AFC6" w14:textId="77777777" w:rsidR="00D2004A" w:rsidRDefault="00D2004A">
      <w:pPr>
        <w:spacing w:after="160"/>
      </w:pPr>
    </w:p>
    <w:p w14:paraId="55D8FF4B" w14:textId="77777777" w:rsidR="00D2004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004A" w14:paraId="6308CDB9" w14:textId="77777777">
        <w:tblPrEx>
          <w:tblCellMar>
            <w:top w:w="0" w:type="dxa"/>
            <w:bottom w:w="0" w:type="dxa"/>
          </w:tblCellMar>
        </w:tblPrEx>
        <w:tc>
          <w:tcPr>
            <w:tcW w:w="9360" w:type="dxa"/>
            <w:tcBorders>
              <w:top w:val="single" w:sz="1" w:space="0" w:color="1F5C2E"/>
              <w:left w:val="single" w:sz="1" w:space="0" w:color="1F5C2E"/>
              <w:bottom w:val="single" w:sz="1" w:space="0" w:color="1F5C2E"/>
              <w:right w:val="single" w:sz="1" w:space="0" w:color="1F5C2E"/>
            </w:tcBorders>
            <w:shd w:val="clear" w:color="auto" w:fill="1F5C2E"/>
            <w:tcMar>
              <w:top w:w="160" w:type="dxa"/>
              <w:left w:w="280" w:type="dxa"/>
              <w:bottom w:w="160" w:type="dxa"/>
              <w:right w:w="280" w:type="dxa"/>
            </w:tcMar>
          </w:tcPr>
          <w:p w14:paraId="00C6BB37" w14:textId="77777777" w:rsidR="00D2004A" w:rsidRDefault="00000000">
            <w:r>
              <w:rPr>
                <w:b/>
                <w:bCs/>
                <w:color w:val="FFFFFF"/>
                <w:sz w:val="32"/>
                <w:szCs w:val="32"/>
              </w:rPr>
              <w:lastRenderedPageBreak/>
              <w:t>PART 2</w:t>
            </w:r>
            <w:r>
              <w:rPr>
                <w:color w:val="CCDDEE"/>
              </w:rPr>
              <w:t xml:space="preserve">   For Career Shifters</w:t>
            </w:r>
          </w:p>
        </w:tc>
      </w:tr>
    </w:tbl>
    <w:p w14:paraId="63C91A82" w14:textId="77777777" w:rsidR="00D2004A" w:rsidRDefault="00D2004A">
      <w:pPr>
        <w:spacing w:after="80"/>
      </w:pPr>
    </w:p>
    <w:p w14:paraId="350ACC89" w14:textId="77777777" w:rsidR="00D2004A" w:rsidRDefault="00000000">
      <w:pPr>
        <w:pStyle w:val="Heading1"/>
      </w:pPr>
      <w:r>
        <w:rPr>
          <w:color w:val="1F5C2E"/>
        </w:rPr>
        <w:t>The Pivot: Skills, Hardware, Cloud, and Content</w:t>
      </w:r>
    </w:p>
    <w:p w14:paraId="7A557F67" w14:textId="77777777" w:rsidR="00D2004A" w:rsidRDefault="00000000">
      <w:pPr>
        <w:pBdr>
          <w:left w:val="single" w:sz="20" w:space="8" w:color="1F5C2E"/>
        </w:pBdr>
        <w:spacing w:before="80" w:after="80"/>
        <w:ind w:left="480"/>
      </w:pPr>
      <w:r>
        <w:rPr>
          <w:i/>
          <w:iCs/>
          <w:color w:val="1F5C2E"/>
        </w:rPr>
        <w:t>"What are the top skills I need for a DA or DE career? What hardware should I use? Should I have cloud projects in my portfolio? What about content creation?"</w:t>
      </w:r>
    </w:p>
    <w:p w14:paraId="3D05983E" w14:textId="77777777" w:rsidR="00D2004A" w:rsidRDefault="00D2004A">
      <w:pPr>
        <w:spacing w:after="120"/>
      </w:pPr>
    </w:p>
    <w:p w14:paraId="1AAE45E3" w14:textId="77777777" w:rsidR="00D2004A" w:rsidRDefault="00000000">
      <w:pPr>
        <w:spacing w:before="60" w:after="60"/>
      </w:pPr>
      <w:r>
        <w:t>Career shifters in this survey are statistically distinct: more likely to be 25–39, working onsite (52.7%), in lower salary bands, with a non-CS degree (58.4%), and carrying admin, engineering, or customer service experience from their previous role. Their satisfaction scores are significantly lower than professionals at every band from 1 to 5. The pivot period is genuinely hard. The data below is meant to shorten it.</w:t>
      </w:r>
    </w:p>
    <w:p w14:paraId="2ABBD442" w14:textId="77777777" w:rsidR="00D2004A" w:rsidRDefault="00D2004A">
      <w:pPr>
        <w:spacing w:after="120"/>
      </w:pPr>
    </w:p>
    <w:p w14:paraId="02CAA3B3" w14:textId="77777777" w:rsidR="00D2004A" w:rsidRDefault="00000000">
      <w:pPr>
        <w:pStyle w:val="Heading2"/>
      </w:pPr>
      <w:r>
        <w:t>Core Skills: What DA and DE Practitioners Actually Use</w:t>
      </w:r>
    </w:p>
    <w:p w14:paraId="32F6B496" w14:textId="77777777" w:rsidR="00D2004A" w:rsidRDefault="00000000">
      <w:pPr>
        <w:pStyle w:val="Heading3"/>
      </w:pPr>
      <w:r>
        <w:t>For the DA track:</w:t>
      </w:r>
    </w:p>
    <w:p w14:paraId="3D7ABEED" w14:textId="77777777" w:rsidR="00D2004A" w:rsidRDefault="00000000">
      <w:pPr>
        <w:pStyle w:val="ListParagraph"/>
        <w:numPr>
          <w:ilvl w:val="0"/>
          <w:numId w:val="2"/>
        </w:numPr>
        <w:spacing w:before="40" w:after="40"/>
      </w:pPr>
      <w:r>
        <w:rPr>
          <w:b/>
          <w:bCs/>
          <w:color w:val="1F5C2E"/>
        </w:rPr>
        <w:t>SQL: The non-negotiable first skill. Professionals (47.3%), DE practitioners (55.7%), and experienced respondents all show significantly elevated SQL usage. Start here.</w:t>
      </w:r>
    </w:p>
    <w:p w14:paraId="28FB722D" w14:textId="77777777" w:rsidR="00D2004A" w:rsidRDefault="00000000">
      <w:pPr>
        <w:pStyle w:val="ListParagraph"/>
        <w:numPr>
          <w:ilvl w:val="0"/>
          <w:numId w:val="2"/>
        </w:numPr>
        <w:spacing w:before="40" w:after="40"/>
      </w:pPr>
      <w:r>
        <w:rPr>
          <w:b/>
          <w:bCs/>
          <w:color w:val="1F5C2E"/>
        </w:rPr>
        <w:t>MS Excel: 64.6% of DA practitioners use it for data transformation — significantly higher than DE. Career shifters already using Excel are partway in.</w:t>
      </w:r>
    </w:p>
    <w:p w14:paraId="5157E749" w14:textId="77777777" w:rsidR="00D2004A" w:rsidRDefault="00000000">
      <w:pPr>
        <w:pStyle w:val="ListParagraph"/>
        <w:numPr>
          <w:ilvl w:val="0"/>
          <w:numId w:val="2"/>
        </w:numPr>
        <w:spacing w:before="40" w:after="40"/>
      </w:pPr>
      <w:r>
        <w:rPr>
          <w:b/>
          <w:bCs/>
          <w:color w:val="1F5C2E"/>
        </w:rPr>
        <w:t>Power BI: 42.4% DA usage in tools — significantly higher than DE and SE. Power BI is to DA what Airflow is to DE.</w:t>
      </w:r>
    </w:p>
    <w:p w14:paraId="3450CB8A" w14:textId="77777777" w:rsidR="00D2004A" w:rsidRDefault="00000000">
      <w:pPr>
        <w:pStyle w:val="ListParagraph"/>
        <w:numPr>
          <w:ilvl w:val="0"/>
          <w:numId w:val="2"/>
        </w:numPr>
        <w:spacing w:before="40" w:after="40"/>
      </w:pPr>
      <w:r>
        <w:rPr>
          <w:color w:val="111111"/>
        </w:rPr>
        <w:t>DAX: 29.2% of DA practitioners use it, significantly higher than DE and SE. If Power BI is your target, DAX is mandatory.</w:t>
      </w:r>
    </w:p>
    <w:p w14:paraId="1A9D35D1" w14:textId="77777777" w:rsidR="00D2004A" w:rsidRDefault="00000000">
      <w:pPr>
        <w:pStyle w:val="ListParagraph"/>
        <w:numPr>
          <w:ilvl w:val="0"/>
          <w:numId w:val="2"/>
        </w:numPr>
        <w:spacing w:before="40" w:after="40"/>
      </w:pPr>
      <w:r>
        <w:rPr>
          <w:color w:val="111111"/>
        </w:rPr>
        <w:t>MS Power Query (37.5%), Power Automate (15.6%), Power BI Dataflows (21.4%): All significantly higher for DA. The Microsoft Power Platform stack is the DA lane in the Philippine market.</w:t>
      </w:r>
    </w:p>
    <w:p w14:paraId="1C264DBF" w14:textId="77777777" w:rsidR="00D2004A" w:rsidRDefault="00000000">
      <w:pPr>
        <w:pStyle w:val="ListParagraph"/>
        <w:numPr>
          <w:ilvl w:val="0"/>
          <w:numId w:val="2"/>
        </w:numPr>
        <w:spacing w:before="40" w:after="40"/>
      </w:pPr>
      <w:r>
        <w:rPr>
          <w:color w:val="111111"/>
        </w:rPr>
        <w:t>Python: 36.9% of professionals use it for transformations — significantly higher than career shifters. Add Python to the roadmap after Excel and SQL, not before.</w:t>
      </w:r>
    </w:p>
    <w:p w14:paraId="0481626B" w14:textId="77777777" w:rsidR="00D2004A" w:rsidRDefault="00D2004A">
      <w:pPr>
        <w:spacing w:after="80"/>
      </w:pPr>
    </w:p>
    <w:p w14:paraId="72A96807" w14:textId="77777777" w:rsidR="00D2004A" w:rsidRDefault="00000000">
      <w:pPr>
        <w:pStyle w:val="Heading3"/>
      </w:pPr>
      <w:r>
        <w:t>For the DE track:</w:t>
      </w:r>
    </w:p>
    <w:p w14:paraId="6808C77B" w14:textId="77777777" w:rsidR="00D2004A" w:rsidRDefault="00000000">
      <w:pPr>
        <w:pStyle w:val="ListParagraph"/>
        <w:numPr>
          <w:ilvl w:val="0"/>
          <w:numId w:val="2"/>
        </w:numPr>
        <w:spacing w:before="40" w:after="40"/>
      </w:pPr>
      <w:r>
        <w:rPr>
          <w:b/>
          <w:bCs/>
          <w:color w:val="1F5C2E"/>
        </w:rPr>
        <w:t>Python: 51.9% of DE practitioners use it for transformation, significantly higher than DA. Python is not optional in DE.</w:t>
      </w:r>
    </w:p>
    <w:p w14:paraId="33D9AC1A" w14:textId="77777777" w:rsidR="00D2004A" w:rsidRDefault="00000000">
      <w:pPr>
        <w:pStyle w:val="ListParagraph"/>
        <w:numPr>
          <w:ilvl w:val="0"/>
          <w:numId w:val="2"/>
        </w:numPr>
        <w:spacing w:before="40" w:after="40"/>
      </w:pPr>
      <w:r>
        <w:rPr>
          <w:b/>
          <w:bCs/>
          <w:color w:val="1F5C2E"/>
        </w:rPr>
        <w:t>SQL: 55.7% of DE practitioners for ingestion/transformation — the highest of any role.</w:t>
      </w:r>
    </w:p>
    <w:p w14:paraId="40AC22EF" w14:textId="77777777" w:rsidR="00D2004A" w:rsidRDefault="00000000">
      <w:pPr>
        <w:pStyle w:val="ListParagraph"/>
        <w:numPr>
          <w:ilvl w:val="0"/>
          <w:numId w:val="2"/>
        </w:numPr>
        <w:spacing w:before="40" w:after="40"/>
      </w:pPr>
      <w:r>
        <w:rPr>
          <w:b/>
          <w:bCs/>
          <w:color w:val="1F5C2E"/>
        </w:rPr>
        <w:t>Airflow: 42.9% of DE practitioners use it for orchestration — one of the largest role-specific gaps in the entire survey. Airflow proficiency is a credible DE signal.</w:t>
      </w:r>
    </w:p>
    <w:p w14:paraId="26C4FB39" w14:textId="77777777" w:rsidR="00D2004A" w:rsidRDefault="00000000">
      <w:pPr>
        <w:pStyle w:val="ListParagraph"/>
        <w:numPr>
          <w:ilvl w:val="0"/>
          <w:numId w:val="2"/>
        </w:numPr>
        <w:spacing w:before="40" w:after="40"/>
      </w:pPr>
      <w:r>
        <w:rPr>
          <w:b/>
          <w:bCs/>
          <w:color w:val="1F5C2E"/>
        </w:rPr>
        <w:t>dbt: 27.3% of DE practitioners, significantly higher than DA and SE. Learn dbt alongside SQL.</w:t>
      </w:r>
    </w:p>
    <w:p w14:paraId="6DE68FB9" w14:textId="77777777" w:rsidR="00D2004A" w:rsidRDefault="00000000">
      <w:pPr>
        <w:pStyle w:val="ListParagraph"/>
        <w:numPr>
          <w:ilvl w:val="0"/>
          <w:numId w:val="2"/>
        </w:numPr>
        <w:spacing w:before="40" w:after="40"/>
      </w:pPr>
      <w:r>
        <w:rPr>
          <w:color w:val="111111"/>
        </w:rPr>
        <w:t>Databricks: 22.8% ingestion and 28.8% warehousing for DE, both significantly higher than other roles.</w:t>
      </w:r>
    </w:p>
    <w:p w14:paraId="41249A21" w14:textId="77777777" w:rsidR="00D2004A" w:rsidRDefault="00000000">
      <w:pPr>
        <w:pStyle w:val="ListParagraph"/>
        <w:numPr>
          <w:ilvl w:val="0"/>
          <w:numId w:val="2"/>
        </w:numPr>
        <w:spacing w:before="40" w:after="40"/>
      </w:pPr>
      <w:r>
        <w:rPr>
          <w:color w:val="111111"/>
        </w:rPr>
        <w:t>Snowflake: 42.4% in warehousing, significantly higher for DE than any other role. A Snowflake project is a legitimate portfolio anchor.</w:t>
      </w:r>
    </w:p>
    <w:p w14:paraId="3439A973" w14:textId="77777777" w:rsidR="00D2004A" w:rsidRDefault="00000000">
      <w:pPr>
        <w:pStyle w:val="ListParagraph"/>
        <w:numPr>
          <w:ilvl w:val="0"/>
          <w:numId w:val="2"/>
        </w:numPr>
        <w:spacing w:before="40" w:after="40"/>
      </w:pPr>
      <w:r>
        <w:rPr>
          <w:color w:val="111111"/>
        </w:rPr>
        <w:t>Azure Data Factory, AWS Glue, Fivetran, PySpark: All show significantly higher DE usage. Pick one cloud pipeline tool as your portfolio focus.</w:t>
      </w:r>
    </w:p>
    <w:p w14:paraId="232662DE" w14:textId="77777777" w:rsidR="00D2004A" w:rsidRDefault="00D2004A">
      <w:pPr>
        <w:spacing w:after="120"/>
      </w:pPr>
    </w:p>
    <w:p w14:paraId="12AB9A12" w14:textId="77777777" w:rsidR="00D2004A" w:rsidRDefault="00000000">
      <w:pPr>
        <w:pStyle w:val="Heading2"/>
      </w:pPr>
      <w:r>
        <w:lastRenderedPageBreak/>
        <w:t>Should You Have Cloud Projects in Your Portfolio?</w:t>
      </w:r>
    </w:p>
    <w:p w14:paraId="5C425996" w14:textId="77777777" w:rsidR="00D2004A" w:rsidRDefault="00000000">
      <w:pPr>
        <w:spacing w:before="60" w:after="60"/>
      </w:pPr>
      <w:r>
        <w:t>Yes — and the data is specific about which clouds.</w:t>
      </w:r>
    </w:p>
    <w:p w14:paraId="7873C068"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119F3075" w14:textId="77777777">
        <w:tblPrEx>
          <w:tblCellMar>
            <w:top w:w="0" w:type="dxa"/>
            <w:bottom w:w="0" w:type="dxa"/>
          </w:tblCellMar>
        </w:tblPrEx>
        <w:tc>
          <w:tcPr>
            <w:tcW w:w="1720" w:type="dxa"/>
            <w:tcBorders>
              <w:top w:val="single" w:sz="6" w:space="0" w:color="2E75B6"/>
              <w:left w:val="single" w:sz="6" w:space="0" w:color="2E75B6"/>
              <w:bottom w:val="single" w:sz="6" w:space="0" w:color="2E75B6"/>
            </w:tcBorders>
            <w:shd w:val="clear" w:color="auto" w:fill="2E75B6"/>
            <w:tcMar>
              <w:top w:w="100" w:type="dxa"/>
              <w:left w:w="120" w:type="dxa"/>
              <w:bottom w:w="100" w:type="dxa"/>
              <w:right w:w="120" w:type="dxa"/>
            </w:tcMar>
            <w:vAlign w:val="center"/>
          </w:tcPr>
          <w:p w14:paraId="0BA94BB9" w14:textId="77777777" w:rsidR="00D2004A" w:rsidRDefault="00000000">
            <w:pPr>
              <w:jc w:val="center"/>
            </w:pPr>
            <w:r>
              <w:rPr>
                <w:b/>
                <w:bCs/>
                <w:color w:val="FFFFFF"/>
                <w:sz w:val="52"/>
                <w:szCs w:val="52"/>
              </w:rPr>
              <w:t>53.6%</w:t>
            </w:r>
          </w:p>
        </w:tc>
        <w:tc>
          <w:tcPr>
            <w:tcW w:w="7640" w:type="dxa"/>
            <w:tcBorders>
              <w:top w:val="single" w:sz="6" w:space="0" w:color="2E75B6"/>
              <w:bottom w:val="single" w:sz="6" w:space="0" w:color="2E75B6"/>
              <w:right w:val="single" w:sz="6" w:space="0" w:color="2E75B6"/>
            </w:tcBorders>
            <w:shd w:val="clear" w:color="auto" w:fill="EDF3FB"/>
            <w:tcMar>
              <w:top w:w="100" w:type="dxa"/>
              <w:left w:w="200" w:type="dxa"/>
              <w:bottom w:w="100" w:type="dxa"/>
              <w:right w:w="120" w:type="dxa"/>
            </w:tcMar>
          </w:tcPr>
          <w:p w14:paraId="78CAA815" w14:textId="77777777" w:rsidR="00D2004A" w:rsidRDefault="00000000">
            <w:r>
              <w:t>of DE practitioners use AWS — significantly higher than DA. AWS is the DE cloud.</w:t>
            </w:r>
          </w:p>
        </w:tc>
      </w:tr>
    </w:tbl>
    <w:p w14:paraId="2312B1AD"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1A6F7EEA" w14:textId="77777777">
        <w:tblPrEx>
          <w:tblCellMar>
            <w:top w:w="0" w:type="dxa"/>
            <w:bottom w:w="0" w:type="dxa"/>
          </w:tblCellMar>
        </w:tblPrEx>
        <w:tc>
          <w:tcPr>
            <w:tcW w:w="1720" w:type="dxa"/>
            <w:tcBorders>
              <w:top w:val="single" w:sz="6" w:space="0" w:color="1F3864"/>
              <w:left w:val="single" w:sz="6" w:space="0" w:color="1F3864"/>
              <w:bottom w:val="single" w:sz="6" w:space="0" w:color="1F3864"/>
            </w:tcBorders>
            <w:shd w:val="clear" w:color="auto" w:fill="1F3864"/>
            <w:tcMar>
              <w:top w:w="100" w:type="dxa"/>
              <w:left w:w="120" w:type="dxa"/>
              <w:bottom w:w="100" w:type="dxa"/>
              <w:right w:w="120" w:type="dxa"/>
            </w:tcMar>
            <w:vAlign w:val="center"/>
          </w:tcPr>
          <w:p w14:paraId="1F370407" w14:textId="77777777" w:rsidR="00D2004A" w:rsidRDefault="00000000">
            <w:pPr>
              <w:jc w:val="center"/>
            </w:pPr>
            <w:r>
              <w:rPr>
                <w:b/>
                <w:bCs/>
                <w:color w:val="FFFFFF"/>
                <w:sz w:val="52"/>
                <w:szCs w:val="52"/>
              </w:rPr>
              <w:t>50.7%</w:t>
            </w:r>
          </w:p>
        </w:tc>
        <w:tc>
          <w:tcPr>
            <w:tcW w:w="7640" w:type="dxa"/>
            <w:tcBorders>
              <w:top w:val="single" w:sz="6" w:space="0" w:color="1F3864"/>
              <w:bottom w:val="single" w:sz="6" w:space="0" w:color="1F3864"/>
              <w:right w:val="single" w:sz="6" w:space="0" w:color="1F3864"/>
            </w:tcBorders>
            <w:shd w:val="clear" w:color="auto" w:fill="EDF3FB"/>
            <w:tcMar>
              <w:top w:w="100" w:type="dxa"/>
              <w:left w:w="200" w:type="dxa"/>
              <w:bottom w:w="100" w:type="dxa"/>
              <w:right w:w="120" w:type="dxa"/>
            </w:tcMar>
          </w:tcPr>
          <w:p w14:paraId="1CA253A4" w14:textId="77777777" w:rsidR="00D2004A" w:rsidRDefault="00000000">
            <w:r>
              <w:t>of DE practitioners also use Azure. Many DE practitioners use both. Choose one, get proficient, then build toward the second.</w:t>
            </w:r>
          </w:p>
        </w:tc>
      </w:tr>
    </w:tbl>
    <w:p w14:paraId="4264A3A9" w14:textId="77777777" w:rsidR="00D2004A" w:rsidRDefault="00D2004A">
      <w:pPr>
        <w:spacing w:after="80"/>
      </w:pPr>
    </w:p>
    <w:p w14:paraId="29E75D44" w14:textId="77777777" w:rsidR="00D2004A" w:rsidRDefault="00000000">
      <w:pPr>
        <w:spacing w:before="60" w:after="60"/>
      </w:pPr>
      <w:r>
        <w:t>GCP shows up strongly among career shifters (59.0%, significantly higher than professionals) and PT/Contract/Freelance workers (69.2%). GCP's accessible free tier makes it a credible starting point for a first cloud project. But supplement it with AWS or Azure exposure to match where employers are investing.</w:t>
      </w:r>
    </w:p>
    <w:p w14:paraId="2BF1CF7F" w14:textId="77777777" w:rsidR="00D2004A" w:rsidRDefault="00D2004A">
      <w:pPr>
        <w:spacing w:after="80"/>
      </w:pPr>
    </w:p>
    <w:p w14:paraId="76B21426" w14:textId="77777777" w:rsidR="00D2004A" w:rsidRDefault="00000000">
      <w:pPr>
        <w:pBdr>
          <w:left w:val="single" w:sz="14" w:space="6" w:color="2E75B6"/>
        </w:pBdr>
        <w:spacing w:before="80" w:after="80"/>
        <w:ind w:left="360"/>
      </w:pPr>
      <w:r>
        <w:rPr>
          <w:b/>
          <w:bCs/>
          <w:color w:val="2E75B6"/>
        </w:rPr>
        <w:t xml:space="preserve">Certification as proof: </w:t>
      </w:r>
      <w:r>
        <w:t>AWS Cloud Certification is significantly more common among professionals (9.4%) and DE/SE practitioners vs. DA. A certification project fills the experience gap on a resume when you do not yet have years of DE employment to show.</w:t>
      </w:r>
    </w:p>
    <w:p w14:paraId="28BBEDEB" w14:textId="77777777" w:rsidR="00D2004A" w:rsidRDefault="00D2004A">
      <w:pPr>
        <w:spacing w:after="120"/>
      </w:pPr>
    </w:p>
    <w:p w14:paraId="4CA30A71" w14:textId="77777777" w:rsidR="00D2004A" w:rsidRDefault="00000000">
      <w:pPr>
        <w:pStyle w:val="Heading2"/>
      </w:pPr>
      <w:r>
        <w:t>What Hardware Should You Use?</w:t>
      </w:r>
    </w:p>
    <w:p w14:paraId="25D46220" w14:textId="77777777" w:rsidR="00D2004A" w:rsidRDefault="00000000">
      <w:pPr>
        <w:pStyle w:val="ListParagraph"/>
        <w:numPr>
          <w:ilvl w:val="0"/>
          <w:numId w:val="2"/>
        </w:numPr>
        <w:spacing w:before="40" w:after="40"/>
      </w:pPr>
      <w:r>
        <w:rPr>
          <w:b/>
          <w:bCs/>
          <w:color w:val="1F5C2E"/>
        </w:rPr>
        <w:t>Laptop: 89.1% of female respondents and 89.2% of professionals use a laptop as their primary device — both significantly higher than foreign-employer respondents. For hybrid work (90.9%), laptops dominate. A capable laptop is the baseline.</w:t>
      </w:r>
    </w:p>
    <w:p w14:paraId="5FC52DA1" w14:textId="77777777" w:rsidR="00D2004A" w:rsidRDefault="00000000">
      <w:pPr>
        <w:pStyle w:val="ListParagraph"/>
        <w:numPr>
          <w:ilvl w:val="0"/>
          <w:numId w:val="2"/>
        </w:numPr>
        <w:spacing w:before="40" w:after="40"/>
      </w:pPr>
      <w:r>
        <w:rPr>
          <w:color w:val="111111"/>
        </w:rPr>
        <w:t>Desktop: 40.7% of career shifters use a desktop — significantly higher than students. If you are onsite, a desktop environment is normal.</w:t>
      </w:r>
    </w:p>
    <w:p w14:paraId="2A7468AF" w14:textId="77777777" w:rsidR="00D2004A" w:rsidRDefault="00000000">
      <w:pPr>
        <w:pStyle w:val="ListParagraph"/>
        <w:numPr>
          <w:ilvl w:val="0"/>
          <w:numId w:val="2"/>
        </w:numPr>
        <w:spacing w:before="40" w:after="40"/>
      </w:pPr>
      <w:r>
        <w:rPr>
          <w:color w:val="111111"/>
        </w:rPr>
        <w:t>Virtual Machine (VM): 20.0% of DE practitioners use a VM, significantly higher than DA and SE. VMs let you run cloud-like environments locally. Add this as you advance.</w:t>
      </w:r>
    </w:p>
    <w:p w14:paraId="4EE0CA54" w14:textId="77777777" w:rsidR="00D2004A" w:rsidRDefault="00000000">
      <w:pPr>
        <w:pStyle w:val="ListParagraph"/>
        <w:numPr>
          <w:ilvl w:val="0"/>
          <w:numId w:val="2"/>
        </w:numPr>
        <w:spacing w:before="40" w:after="40"/>
      </w:pPr>
      <w:r>
        <w:rPr>
          <w:color w:val="111111"/>
        </w:rPr>
        <w:t>Workstation: 11.4% of professionals use a workstation — not an entry-level device, but a sign of the environment you are heading toward.</w:t>
      </w:r>
    </w:p>
    <w:p w14:paraId="20BEE0AB" w14:textId="77777777" w:rsidR="00D2004A" w:rsidRDefault="00D2004A">
      <w:pPr>
        <w:spacing w:after="120"/>
      </w:pPr>
    </w:p>
    <w:p w14:paraId="55BDC607" w14:textId="77777777" w:rsidR="00D2004A" w:rsidRDefault="00000000">
      <w:pPr>
        <w:pStyle w:val="Heading2"/>
      </w:pPr>
      <w:r>
        <w:t>What About Content Creation?</w:t>
      </w:r>
    </w:p>
    <w:p w14:paraId="6C62E670" w14:textId="77777777" w:rsidR="00D2004A" w:rsidRDefault="00000000">
      <w:pPr>
        <w:spacing w:before="60" w:after="60"/>
      </w:pPr>
      <w:r>
        <w:t>The rest-of-role data shows that 9.3% of career shifters do Content as part of their non-data activities — significantly higher than professionals. PT/Contract/Freelance workers also show elevated content involvement (14.6%).</w:t>
      </w:r>
    </w:p>
    <w:p w14:paraId="292F461C" w14:textId="77777777" w:rsidR="00D2004A" w:rsidRDefault="00D2004A">
      <w:pPr>
        <w:spacing w:after="80"/>
      </w:pPr>
    </w:p>
    <w:p w14:paraId="15A1578C" w14:textId="77777777" w:rsidR="00D2004A" w:rsidRDefault="00000000">
      <w:pPr>
        <w:spacing w:before="60" w:after="60"/>
      </w:pPr>
      <w:r>
        <w:t>This is a real bridge strategy: if your current role involves content, marketing, or communications, layering in data analytics for content performance, campaign tracking, or audience segmentation is a credible and portfolio-visible pivot path. You do not have to abandon what you know to start building what you need.</w:t>
      </w:r>
    </w:p>
    <w:p w14:paraId="69A85240" w14:textId="77777777" w:rsidR="00D2004A" w:rsidRDefault="00D2004A">
      <w:pPr>
        <w:spacing w:after="80"/>
      </w:pPr>
    </w:p>
    <w:p w14:paraId="79684A85" w14:textId="77777777" w:rsidR="00D2004A" w:rsidRDefault="00000000">
      <w:pPr>
        <w:pBdr>
          <w:left w:val="single" w:sz="14" w:space="6" w:color="1F5C2E"/>
        </w:pBdr>
        <w:spacing w:before="80" w:after="80"/>
        <w:ind w:left="360"/>
      </w:pPr>
      <w:r>
        <w:rPr>
          <w:b/>
          <w:bCs/>
          <w:color w:val="1F5C2E"/>
        </w:rPr>
        <w:t xml:space="preserve">Tool signal: </w:t>
      </w:r>
      <w:r>
        <w:t>Notion (18.3% career shifters), Canva, WordPress (5.7%), and HubSpot (via PT/Contract/Freelance and remote segments) are significantly elevated in adjacent-to-data roles. If you are already using these, that toolset is recognisable in the community.</w:t>
      </w:r>
    </w:p>
    <w:p w14:paraId="30FFD863" w14:textId="77777777" w:rsidR="00D2004A" w:rsidRDefault="00D2004A">
      <w:pPr>
        <w:spacing w:after="160"/>
      </w:pPr>
    </w:p>
    <w:p w14:paraId="621D2268" w14:textId="77777777" w:rsidR="00D2004A"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004A" w14:paraId="1A001B7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2E75B6"/>
            <w:tcMar>
              <w:top w:w="160" w:type="dxa"/>
              <w:left w:w="280" w:type="dxa"/>
              <w:bottom w:w="160" w:type="dxa"/>
              <w:right w:w="280" w:type="dxa"/>
            </w:tcMar>
          </w:tcPr>
          <w:p w14:paraId="12BDE4D3" w14:textId="77777777" w:rsidR="00D2004A" w:rsidRDefault="00000000">
            <w:r>
              <w:rPr>
                <w:b/>
                <w:bCs/>
                <w:color w:val="FFFFFF"/>
                <w:sz w:val="32"/>
                <w:szCs w:val="32"/>
              </w:rPr>
              <w:lastRenderedPageBreak/>
              <w:t>PART 3</w:t>
            </w:r>
            <w:r>
              <w:rPr>
                <w:color w:val="CCDDEE"/>
              </w:rPr>
              <w:t xml:space="preserve">   For Mid-Career Professionals</w:t>
            </w:r>
          </w:p>
        </w:tc>
      </w:tr>
    </w:tbl>
    <w:p w14:paraId="112B6407" w14:textId="77777777" w:rsidR="00D2004A" w:rsidRDefault="00D2004A">
      <w:pPr>
        <w:spacing w:after="80"/>
      </w:pPr>
    </w:p>
    <w:p w14:paraId="48A91D4F" w14:textId="77777777" w:rsidR="00D2004A" w:rsidRDefault="00000000">
      <w:pPr>
        <w:pStyle w:val="Heading1"/>
      </w:pPr>
      <w:r>
        <w:rPr>
          <w:color w:val="2E75B6"/>
        </w:rPr>
        <w:t>Going Up: Salary, Satisfaction, and Staying Sharp</w:t>
      </w:r>
    </w:p>
    <w:p w14:paraId="1AD64574" w14:textId="77777777" w:rsidR="00D2004A" w:rsidRDefault="00000000">
      <w:pPr>
        <w:pBdr>
          <w:left w:val="single" w:sz="20" w:space="8" w:color="2E75B6"/>
        </w:pBdr>
        <w:spacing w:before="80" w:after="80"/>
        <w:ind w:left="480"/>
      </w:pPr>
      <w:r>
        <w:rPr>
          <w:i/>
          <w:iCs/>
          <w:color w:val="2E75B6"/>
        </w:rPr>
        <w:t>"How can I move to the next salary band? Is a side gig common? How long should I stay before I look for more? Is a Master's worth it for DA or DE? What is driving job satisfaction? Are my skills updated?"</w:t>
      </w:r>
    </w:p>
    <w:p w14:paraId="2933403E" w14:textId="77777777" w:rsidR="00D2004A" w:rsidRDefault="00D2004A">
      <w:pPr>
        <w:spacing w:after="120"/>
      </w:pPr>
    </w:p>
    <w:p w14:paraId="2E3460D8" w14:textId="77777777" w:rsidR="00D2004A" w:rsidRDefault="00000000">
      <w:pPr>
        <w:pStyle w:val="Heading2"/>
      </w:pPr>
      <w:r>
        <w:t>The Salary Ladder: What the Data Shows</w:t>
      </w:r>
    </w:p>
    <w:p w14:paraId="2A73FB89" w14:textId="77777777" w:rsidR="00D2004A" w:rsidRDefault="00000000">
      <w:pPr>
        <w:spacing w:before="60" w:after="60"/>
      </w:pPr>
      <w:r>
        <w:t>The 30–34 age group is where salary acceleration becomes statistically clear:</w:t>
      </w:r>
    </w:p>
    <w:p w14:paraId="3E859208"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2700E280" w14:textId="77777777">
        <w:tblPrEx>
          <w:tblCellMar>
            <w:top w:w="0" w:type="dxa"/>
            <w:bottom w:w="0" w:type="dxa"/>
          </w:tblCellMar>
        </w:tblPrEx>
        <w:tc>
          <w:tcPr>
            <w:tcW w:w="1720" w:type="dxa"/>
            <w:tcBorders>
              <w:top w:val="single" w:sz="6" w:space="0" w:color="2E75B6"/>
              <w:left w:val="single" w:sz="6" w:space="0" w:color="2E75B6"/>
              <w:bottom w:val="single" w:sz="6" w:space="0" w:color="2E75B6"/>
            </w:tcBorders>
            <w:shd w:val="clear" w:color="auto" w:fill="2E75B6"/>
            <w:tcMar>
              <w:top w:w="100" w:type="dxa"/>
              <w:left w:w="120" w:type="dxa"/>
              <w:bottom w:w="100" w:type="dxa"/>
              <w:right w:w="120" w:type="dxa"/>
            </w:tcMar>
            <w:vAlign w:val="center"/>
          </w:tcPr>
          <w:p w14:paraId="25401FE3" w14:textId="77777777" w:rsidR="00D2004A" w:rsidRDefault="00000000">
            <w:pPr>
              <w:jc w:val="center"/>
            </w:pPr>
            <w:r>
              <w:rPr>
                <w:b/>
                <w:bCs/>
                <w:color w:val="FFFFFF"/>
                <w:sz w:val="52"/>
                <w:szCs w:val="52"/>
              </w:rPr>
              <w:t>15.0%</w:t>
            </w:r>
          </w:p>
        </w:tc>
        <w:tc>
          <w:tcPr>
            <w:tcW w:w="7640" w:type="dxa"/>
            <w:tcBorders>
              <w:top w:val="single" w:sz="6" w:space="0" w:color="2E75B6"/>
              <w:bottom w:val="single" w:sz="6" w:space="0" w:color="2E75B6"/>
              <w:right w:val="single" w:sz="6" w:space="0" w:color="2E75B6"/>
            </w:tcBorders>
            <w:shd w:val="clear" w:color="auto" w:fill="EDF3FB"/>
            <w:tcMar>
              <w:top w:w="100" w:type="dxa"/>
              <w:left w:w="200" w:type="dxa"/>
              <w:bottom w:w="100" w:type="dxa"/>
              <w:right w:w="120" w:type="dxa"/>
            </w:tcMar>
          </w:tcPr>
          <w:p w14:paraId="28141F48" w14:textId="77777777" w:rsidR="00D2004A" w:rsidRDefault="00000000">
            <w:r>
              <w:t>of 30–34-year-olds earn ₱125k–₱250k — significantly higher than every other age group. This is the professional breakthrough band.</w:t>
            </w:r>
          </w:p>
        </w:tc>
      </w:tr>
    </w:tbl>
    <w:p w14:paraId="67FE1E11"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0EAF03BF" w14:textId="77777777">
        <w:tblPrEx>
          <w:tblCellMar>
            <w:top w:w="0" w:type="dxa"/>
            <w:bottom w:w="0" w:type="dxa"/>
          </w:tblCellMar>
        </w:tblPrEx>
        <w:tc>
          <w:tcPr>
            <w:tcW w:w="1720" w:type="dxa"/>
            <w:tcBorders>
              <w:top w:val="single" w:sz="6" w:space="0" w:color="1F3864"/>
              <w:left w:val="single" w:sz="6" w:space="0" w:color="1F3864"/>
              <w:bottom w:val="single" w:sz="6" w:space="0" w:color="1F3864"/>
            </w:tcBorders>
            <w:shd w:val="clear" w:color="auto" w:fill="1F3864"/>
            <w:tcMar>
              <w:top w:w="100" w:type="dxa"/>
              <w:left w:w="120" w:type="dxa"/>
              <w:bottom w:w="100" w:type="dxa"/>
              <w:right w:w="120" w:type="dxa"/>
            </w:tcMar>
            <w:vAlign w:val="center"/>
          </w:tcPr>
          <w:p w14:paraId="1AD45CA7" w14:textId="77777777" w:rsidR="00D2004A" w:rsidRDefault="00000000">
            <w:pPr>
              <w:jc w:val="center"/>
            </w:pPr>
            <w:r>
              <w:rPr>
                <w:b/>
                <w:bCs/>
                <w:color w:val="FFFFFF"/>
                <w:sz w:val="52"/>
                <w:szCs w:val="52"/>
              </w:rPr>
              <w:t>3.7%</w:t>
            </w:r>
          </w:p>
        </w:tc>
        <w:tc>
          <w:tcPr>
            <w:tcW w:w="7640" w:type="dxa"/>
            <w:tcBorders>
              <w:top w:val="single" w:sz="6" w:space="0" w:color="1F3864"/>
              <w:bottom w:val="single" w:sz="6" w:space="0" w:color="1F3864"/>
              <w:right w:val="single" w:sz="6" w:space="0" w:color="1F3864"/>
            </w:tcBorders>
            <w:shd w:val="clear" w:color="auto" w:fill="EDF3FB"/>
            <w:tcMar>
              <w:top w:w="100" w:type="dxa"/>
              <w:left w:w="200" w:type="dxa"/>
              <w:bottom w:w="100" w:type="dxa"/>
              <w:right w:w="120" w:type="dxa"/>
            </w:tcMar>
          </w:tcPr>
          <w:p w14:paraId="5FF32A6A" w14:textId="77777777" w:rsidR="00D2004A" w:rsidRDefault="00000000">
            <w:r>
              <w:t>of professionals earn ₱250k+ — significantly higher than career shifters. Senior compensation is in a separate tier.</w:t>
            </w:r>
          </w:p>
        </w:tc>
      </w:tr>
    </w:tbl>
    <w:p w14:paraId="6B2F64B1" w14:textId="77777777" w:rsidR="00D2004A" w:rsidRDefault="00D2004A">
      <w:pPr>
        <w:spacing w:after="80"/>
      </w:pPr>
    </w:p>
    <w:p w14:paraId="1436BDE2" w14:textId="77777777" w:rsidR="00D2004A" w:rsidRDefault="00000000">
      <w:pPr>
        <w:spacing w:before="60" w:after="60"/>
      </w:pPr>
      <w:r>
        <w:t>The strongest structural lever is employer type. Multinational employers are significantly overrepresented in the ₱45k–₱125k bands. Foreign employers are significantly stronger at ₱125k–₱250k (11.7% vs. 4.3% local). Moving from a local to a multinational or foreign employer is the single most impactful structural career move for salary growth in this dataset.</w:t>
      </w:r>
    </w:p>
    <w:p w14:paraId="131F4A04" w14:textId="77777777" w:rsidR="00D2004A" w:rsidRDefault="00D2004A">
      <w:pPr>
        <w:spacing w:after="80"/>
      </w:pPr>
    </w:p>
    <w:p w14:paraId="326736CC" w14:textId="77777777" w:rsidR="00D2004A" w:rsidRDefault="00000000">
      <w:pPr>
        <w:pBdr>
          <w:left w:val="single" w:sz="14" w:space="6" w:color="2E75B6"/>
        </w:pBdr>
        <w:spacing w:before="80" w:after="80"/>
        <w:ind w:left="360"/>
      </w:pPr>
      <w:r>
        <w:rPr>
          <w:b/>
          <w:bCs/>
          <w:color w:val="2E75B6"/>
        </w:rPr>
        <w:t xml:space="preserve">The remote premium: </w:t>
      </w:r>
      <w:r>
        <w:t>Remote workers show significantly higher concentrations across every salary band above ₱55k. Onsite concentration is heaviest at the lower salary bands. Positioning for remote-eligible roles is a salary strategy, not just a lifestyle preference.</w:t>
      </w:r>
    </w:p>
    <w:p w14:paraId="3CAE048E" w14:textId="77777777" w:rsidR="00D2004A" w:rsidRDefault="00D2004A">
      <w:pPr>
        <w:spacing w:after="120"/>
      </w:pPr>
    </w:p>
    <w:p w14:paraId="7AF18A42" w14:textId="77777777" w:rsidR="00D2004A" w:rsidRDefault="00000000">
      <w:pPr>
        <w:pStyle w:val="Heading2"/>
      </w:pPr>
      <w:r>
        <w:t>How Long Should You Stay Before Moving?</w:t>
      </w:r>
    </w:p>
    <w:p w14:paraId="1F51FB8B" w14:textId="77777777" w:rsidR="00D2004A" w:rsidRDefault="00000000">
      <w:pPr>
        <w:pStyle w:val="ListParagraph"/>
        <w:numPr>
          <w:ilvl w:val="0"/>
          <w:numId w:val="2"/>
        </w:numPr>
        <w:spacing w:before="40" w:after="40"/>
      </w:pPr>
      <w:r>
        <w:rPr>
          <w:b/>
          <w:bCs/>
          <w:color w:val="2E75B6"/>
        </w:rPr>
        <w:t>1–2 years (&gt;1yr to 2yrs): The most common tenure window for 25–29-year-olds (30.6%) and 30–34-year-olds (31.1%) — both significantly higher than the 20–24 cohort and older professionals. This is the modal move window in the core professional age bands.</w:t>
      </w:r>
    </w:p>
    <w:p w14:paraId="272BB6D3" w14:textId="77777777" w:rsidR="00D2004A" w:rsidRDefault="00000000">
      <w:pPr>
        <w:pStyle w:val="ListParagraph"/>
        <w:numPr>
          <w:ilvl w:val="0"/>
          <w:numId w:val="2"/>
        </w:numPr>
        <w:spacing w:before="40" w:after="40"/>
      </w:pPr>
      <w:r>
        <w:rPr>
          <w:color w:val="111111"/>
        </w:rPr>
        <w:t>2–5 years (&gt;2yrs to 5yrs): Significantly more common among 35–39-year-olds (33.3%). Senior professionals stay longer before moving.</w:t>
      </w:r>
    </w:p>
    <w:p w14:paraId="53118063" w14:textId="77777777" w:rsidR="00D2004A" w:rsidRDefault="00000000">
      <w:pPr>
        <w:pStyle w:val="ListParagraph"/>
        <w:numPr>
          <w:ilvl w:val="0"/>
          <w:numId w:val="2"/>
        </w:numPr>
        <w:spacing w:before="40" w:after="40"/>
      </w:pPr>
      <w:r>
        <w:rPr>
          <w:color w:val="111111"/>
        </w:rPr>
        <w:t>6 months–1 year: Significantly higher for full-time professionals (22.1%) vs. career shifters. The first move for a new professional often comes within the year.</w:t>
      </w:r>
    </w:p>
    <w:p w14:paraId="61773798" w14:textId="77777777" w:rsidR="00D2004A" w:rsidRDefault="00D2004A">
      <w:pPr>
        <w:spacing w:after="80"/>
      </w:pPr>
    </w:p>
    <w:p w14:paraId="359CB60F" w14:textId="77777777" w:rsidR="00D2004A" w:rsidRDefault="00000000">
      <w:pPr>
        <w:spacing w:before="60" w:after="60"/>
      </w:pPr>
      <w:r>
        <w:t>The practical read: for professionals in the 25–34 range, a 1–2 year window before seeking a move is the community norm. Full-time workers show significantly higher rates in the 6-month–to–2-year range — not sprinting between jobs, but not staying indefinitely either.</w:t>
      </w:r>
    </w:p>
    <w:p w14:paraId="5801303E" w14:textId="77777777" w:rsidR="00D2004A" w:rsidRDefault="00D2004A">
      <w:pPr>
        <w:spacing w:after="120"/>
      </w:pPr>
    </w:p>
    <w:p w14:paraId="40A4AFB6" w14:textId="77777777" w:rsidR="00D2004A" w:rsidRDefault="00000000">
      <w:pPr>
        <w:pStyle w:val="Heading2"/>
      </w:pPr>
      <w:r>
        <w:t>Is a Side Gig Common?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05C2236E" w14:textId="77777777">
        <w:tblPrEx>
          <w:tblCellMar>
            <w:top w:w="0" w:type="dxa"/>
            <w:bottom w:w="0" w:type="dxa"/>
          </w:tblCellMar>
        </w:tblPrEx>
        <w:tc>
          <w:tcPr>
            <w:tcW w:w="1720" w:type="dxa"/>
            <w:tcBorders>
              <w:top w:val="single" w:sz="6" w:space="0" w:color="4A235A"/>
              <w:left w:val="single" w:sz="6" w:space="0" w:color="4A235A"/>
              <w:bottom w:val="single" w:sz="6" w:space="0" w:color="4A235A"/>
            </w:tcBorders>
            <w:shd w:val="clear" w:color="auto" w:fill="4A235A"/>
            <w:tcMar>
              <w:top w:w="100" w:type="dxa"/>
              <w:left w:w="120" w:type="dxa"/>
              <w:bottom w:w="100" w:type="dxa"/>
              <w:right w:w="120" w:type="dxa"/>
            </w:tcMar>
            <w:vAlign w:val="center"/>
          </w:tcPr>
          <w:p w14:paraId="08F5B642" w14:textId="77777777" w:rsidR="00D2004A" w:rsidRDefault="00000000">
            <w:pPr>
              <w:jc w:val="center"/>
            </w:pPr>
            <w:r>
              <w:rPr>
                <w:b/>
                <w:bCs/>
                <w:color w:val="FFFFFF"/>
                <w:sz w:val="52"/>
                <w:szCs w:val="52"/>
              </w:rPr>
              <w:lastRenderedPageBreak/>
              <w:t>35.7%</w:t>
            </w:r>
          </w:p>
        </w:tc>
        <w:tc>
          <w:tcPr>
            <w:tcW w:w="7640" w:type="dxa"/>
            <w:tcBorders>
              <w:top w:val="single" w:sz="6" w:space="0" w:color="4A235A"/>
              <w:bottom w:val="single" w:sz="6" w:space="0" w:color="4A235A"/>
              <w:right w:val="single" w:sz="6" w:space="0" w:color="4A235A"/>
            </w:tcBorders>
            <w:shd w:val="clear" w:color="auto" w:fill="EDF3FB"/>
            <w:tcMar>
              <w:top w:w="100" w:type="dxa"/>
              <w:left w:w="200" w:type="dxa"/>
              <w:bottom w:w="100" w:type="dxa"/>
              <w:right w:w="120" w:type="dxa"/>
            </w:tcMar>
          </w:tcPr>
          <w:p w14:paraId="555DACFC" w14:textId="77777777" w:rsidR="00D2004A" w:rsidRDefault="00000000">
            <w:r>
              <w:t>of SE practitioners had a side gig in the past 12 months — significantly higher than DA (20.6%) and DE (18.8%). SE is the most side-gig-active role.</w:t>
            </w:r>
          </w:p>
        </w:tc>
      </w:tr>
    </w:tbl>
    <w:p w14:paraId="03D5EB50"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0A1298F9" w14:textId="77777777">
        <w:tblPrEx>
          <w:tblCellMar>
            <w:top w:w="0" w:type="dxa"/>
            <w:bottom w:w="0" w:type="dxa"/>
          </w:tblCellMar>
        </w:tblPrEx>
        <w:tc>
          <w:tcPr>
            <w:tcW w:w="1720" w:type="dxa"/>
            <w:tcBorders>
              <w:top w:val="single" w:sz="6" w:space="0" w:color="833C00"/>
              <w:left w:val="single" w:sz="6" w:space="0" w:color="833C00"/>
              <w:bottom w:val="single" w:sz="6" w:space="0" w:color="833C00"/>
            </w:tcBorders>
            <w:shd w:val="clear" w:color="auto" w:fill="833C00"/>
            <w:tcMar>
              <w:top w:w="100" w:type="dxa"/>
              <w:left w:w="120" w:type="dxa"/>
              <w:bottom w:w="100" w:type="dxa"/>
              <w:right w:w="120" w:type="dxa"/>
            </w:tcMar>
            <w:vAlign w:val="center"/>
          </w:tcPr>
          <w:p w14:paraId="40B0FFF4" w14:textId="77777777" w:rsidR="00D2004A" w:rsidRDefault="00000000">
            <w:pPr>
              <w:jc w:val="center"/>
            </w:pPr>
            <w:r>
              <w:rPr>
                <w:b/>
                <w:bCs/>
                <w:color w:val="FFFFFF"/>
                <w:sz w:val="52"/>
                <w:szCs w:val="52"/>
              </w:rPr>
              <w:t>44.1%</w:t>
            </w:r>
          </w:p>
        </w:tc>
        <w:tc>
          <w:tcPr>
            <w:tcW w:w="7640" w:type="dxa"/>
            <w:tcBorders>
              <w:top w:val="single" w:sz="6" w:space="0" w:color="833C00"/>
              <w:bottom w:val="single" w:sz="6" w:space="0" w:color="833C00"/>
              <w:right w:val="single" w:sz="6" w:space="0" w:color="833C00"/>
            </w:tcBorders>
            <w:shd w:val="clear" w:color="auto" w:fill="EDF3FB"/>
            <w:tcMar>
              <w:top w:w="100" w:type="dxa"/>
              <w:left w:w="200" w:type="dxa"/>
              <w:bottom w:w="100" w:type="dxa"/>
              <w:right w:w="120" w:type="dxa"/>
            </w:tcMar>
          </w:tcPr>
          <w:p w14:paraId="61580DB4" w14:textId="77777777" w:rsidR="00D2004A" w:rsidRDefault="00000000">
            <w:r>
              <w:t>of PT/Contract/Freelance workers report a side gig — significantly higher than full-time employees.</w:t>
            </w:r>
          </w:p>
        </w:tc>
      </w:tr>
    </w:tbl>
    <w:p w14:paraId="06832F20" w14:textId="77777777" w:rsidR="00D2004A" w:rsidRDefault="00D2004A">
      <w:pPr>
        <w:spacing w:after="80"/>
      </w:pPr>
    </w:p>
    <w:p w14:paraId="71B3879C" w14:textId="77777777" w:rsidR="00D2004A" w:rsidRDefault="00000000">
      <w:pPr>
        <w:spacing w:before="60" w:after="60"/>
      </w:pPr>
      <w:r>
        <w:t>Remote workers show significantly elevated side-gig rates (29.5%) vs. onsite (18.2%) and hybrid (19.4%) workers. The flexibility of remote work enables supplemental income.</w:t>
      </w:r>
    </w:p>
    <w:p w14:paraId="0F66533A" w14:textId="77777777" w:rsidR="00D2004A" w:rsidRDefault="00D2004A">
      <w:pPr>
        <w:spacing w:after="80"/>
      </w:pPr>
    </w:p>
    <w:p w14:paraId="63938CBE" w14:textId="77777777" w:rsidR="00D2004A" w:rsidRDefault="00000000">
      <w:pPr>
        <w:pBdr>
          <w:left w:val="single" w:sz="14" w:space="6" w:color="2E75B6"/>
        </w:pBdr>
        <w:spacing w:before="80" w:after="80"/>
        <w:ind w:left="360"/>
      </w:pPr>
      <w:r>
        <w:rPr>
          <w:b/>
          <w:bCs/>
          <w:color w:val="2E75B6"/>
        </w:rPr>
        <w:t xml:space="preserve">For full-time DA/DE: </w:t>
      </w:r>
      <w:r>
        <w:t>79–81% report no side gig. The full-time data role tends to be all-in. If supplemental income is the goal, SE skills and remote positioning create more room than DA/DE employment alone.</w:t>
      </w:r>
    </w:p>
    <w:p w14:paraId="2E8B4977" w14:textId="77777777" w:rsidR="00D2004A" w:rsidRDefault="00D2004A">
      <w:pPr>
        <w:spacing w:after="120"/>
      </w:pPr>
    </w:p>
    <w:p w14:paraId="308E180C" w14:textId="77777777" w:rsidR="00D2004A" w:rsidRDefault="00000000">
      <w:pPr>
        <w:pStyle w:val="Heading2"/>
      </w:pPr>
      <w:r>
        <w:t>Is a Master's Degree Worth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52FB241E" w14:textId="77777777">
        <w:tblPrEx>
          <w:tblCellMar>
            <w:top w:w="0" w:type="dxa"/>
            <w:bottom w:w="0" w:type="dxa"/>
          </w:tblCellMar>
        </w:tblPrEx>
        <w:tc>
          <w:tcPr>
            <w:tcW w:w="1720" w:type="dxa"/>
            <w:tcBorders>
              <w:top w:val="single" w:sz="6" w:space="0" w:color="2E75B6"/>
              <w:left w:val="single" w:sz="6" w:space="0" w:color="2E75B6"/>
              <w:bottom w:val="single" w:sz="6" w:space="0" w:color="2E75B6"/>
            </w:tcBorders>
            <w:shd w:val="clear" w:color="auto" w:fill="2E75B6"/>
            <w:tcMar>
              <w:top w:w="100" w:type="dxa"/>
              <w:left w:w="120" w:type="dxa"/>
              <w:bottom w:w="100" w:type="dxa"/>
              <w:right w:w="120" w:type="dxa"/>
            </w:tcMar>
            <w:vAlign w:val="center"/>
          </w:tcPr>
          <w:p w14:paraId="563D5894" w14:textId="77777777" w:rsidR="00D2004A" w:rsidRDefault="00000000">
            <w:pPr>
              <w:jc w:val="center"/>
            </w:pPr>
            <w:r>
              <w:rPr>
                <w:b/>
                <w:bCs/>
                <w:color w:val="FFFFFF"/>
                <w:sz w:val="52"/>
                <w:szCs w:val="52"/>
              </w:rPr>
              <w:t>10.1%</w:t>
            </w:r>
          </w:p>
        </w:tc>
        <w:tc>
          <w:tcPr>
            <w:tcW w:w="7640" w:type="dxa"/>
            <w:tcBorders>
              <w:top w:val="single" w:sz="6" w:space="0" w:color="2E75B6"/>
              <w:bottom w:val="single" w:sz="6" w:space="0" w:color="2E75B6"/>
              <w:right w:val="single" w:sz="6" w:space="0" w:color="2E75B6"/>
            </w:tcBorders>
            <w:shd w:val="clear" w:color="auto" w:fill="EDF3FB"/>
            <w:tcMar>
              <w:top w:w="100" w:type="dxa"/>
              <w:left w:w="200" w:type="dxa"/>
              <w:bottom w:w="100" w:type="dxa"/>
              <w:right w:w="120" w:type="dxa"/>
            </w:tcMar>
          </w:tcPr>
          <w:p w14:paraId="0A7C05E7" w14:textId="77777777" w:rsidR="00D2004A" w:rsidRDefault="00000000">
            <w:r>
              <w:t>of DA practitioners hold a Master's degree — significantly higher than DE and SE. The Master's pays off more in DA than in engineering-track roles.</w:t>
            </w:r>
          </w:p>
        </w:tc>
      </w:tr>
    </w:tbl>
    <w:p w14:paraId="07A56B64" w14:textId="77777777" w:rsidR="00D2004A" w:rsidRDefault="00D2004A">
      <w:pPr>
        <w:spacing w:after="80"/>
      </w:pPr>
    </w:p>
    <w:p w14:paraId="7015A2A8" w14:textId="77777777" w:rsidR="00D2004A" w:rsidRDefault="00000000">
      <w:pPr>
        <w:pStyle w:val="ListParagraph"/>
        <w:numPr>
          <w:ilvl w:val="0"/>
          <w:numId w:val="2"/>
        </w:numPr>
        <w:spacing w:before="40" w:after="40"/>
      </w:pPr>
      <w:r>
        <w:rPr>
          <w:color w:val="111111"/>
        </w:rPr>
        <w:t>Master's prevalence grows with age: 4.1% at 25–29, 13.1% at 30–34, 16.5% at 35–39 — each step significantly higher than the previous. It is accumulated progressively, not front-loaded.</w:t>
      </w:r>
    </w:p>
    <w:p w14:paraId="090E043D" w14:textId="77777777" w:rsidR="00D2004A" w:rsidRDefault="00000000">
      <w:pPr>
        <w:pStyle w:val="ListParagraph"/>
        <w:numPr>
          <w:ilvl w:val="0"/>
          <w:numId w:val="2"/>
        </w:numPr>
        <w:spacing w:before="40" w:after="40"/>
      </w:pPr>
      <w:r>
        <w:rPr>
          <w:color w:val="111111"/>
        </w:rPr>
        <w:t>Multinational and foreign employers show significantly higher Master's rates (9.4% and 8.6% vs. 4.4% local). For large multinationals, a Master's is a meaningful differentiator.</w:t>
      </w:r>
    </w:p>
    <w:p w14:paraId="79C55FB7" w14:textId="77777777" w:rsidR="00D2004A" w:rsidRDefault="00000000">
      <w:pPr>
        <w:pStyle w:val="ListParagraph"/>
        <w:numPr>
          <w:ilvl w:val="0"/>
          <w:numId w:val="2"/>
        </w:numPr>
        <w:spacing w:before="40" w:after="40"/>
      </w:pPr>
      <w:r>
        <w:rPr>
          <w:color w:val="111111"/>
        </w:rPr>
        <w:t>For DE: there is no significant Master's signal. Tool certifications and portfolio projects carry more weight than an advanced degree in the DE track.</w:t>
      </w:r>
    </w:p>
    <w:p w14:paraId="23F5DB3B" w14:textId="77777777" w:rsidR="00D2004A" w:rsidRDefault="00D2004A">
      <w:pPr>
        <w:spacing w:after="80"/>
      </w:pPr>
    </w:p>
    <w:p w14:paraId="29E821B4" w14:textId="77777777" w:rsidR="00D2004A" w:rsidRDefault="00000000">
      <w:pPr>
        <w:pBdr>
          <w:left w:val="single" w:sz="14" w:space="6" w:color="833C00"/>
        </w:pBdr>
        <w:spacing w:before="80" w:after="80"/>
        <w:ind w:left="360"/>
      </w:pPr>
      <w:r>
        <w:rPr>
          <w:b/>
          <w:bCs/>
          <w:color w:val="833C00"/>
        </w:rPr>
        <w:t xml:space="preserve">Bottom line: </w:t>
      </w:r>
      <w:r>
        <w:t>If you are in DA and targeting a senior multinational role, a Master's in Applied Mathematics, Data Science, or Statistics is a credible investment. If you are in DE, certifications and hands-on project depth deliver more return.</w:t>
      </w:r>
    </w:p>
    <w:p w14:paraId="4961C3DE" w14:textId="77777777" w:rsidR="00D2004A" w:rsidRDefault="00D2004A">
      <w:pPr>
        <w:spacing w:after="120"/>
      </w:pPr>
    </w:p>
    <w:p w14:paraId="46A3EE72" w14:textId="77777777" w:rsidR="00D2004A" w:rsidRDefault="00000000">
      <w:pPr>
        <w:pStyle w:val="Heading2"/>
      </w:pPr>
      <w:r>
        <w:t>What Is Driving Job Satisfaction?</w:t>
      </w:r>
    </w:p>
    <w:p w14:paraId="19FF5A3E" w14:textId="77777777" w:rsidR="00D2004A" w:rsidRDefault="00000000">
      <w:pPr>
        <w:spacing w:before="60" w:after="60"/>
      </w:pPr>
      <w:r>
        <w:t>Satisfaction was measured on a 1–10 scale. The high end tells the clearest story:</w:t>
      </w:r>
    </w:p>
    <w:p w14:paraId="7435B34B" w14:textId="77777777" w:rsidR="00D2004A" w:rsidRDefault="00D2004A">
      <w:pPr>
        <w:spacing w:after="80"/>
      </w:pPr>
    </w:p>
    <w:p w14:paraId="4B2C3BFB" w14:textId="77777777" w:rsidR="00D2004A" w:rsidRDefault="00000000">
      <w:pPr>
        <w:pStyle w:val="ListParagraph"/>
        <w:numPr>
          <w:ilvl w:val="0"/>
          <w:numId w:val="2"/>
        </w:numPr>
        <w:spacing w:before="40" w:after="40"/>
      </w:pPr>
      <w:r>
        <w:rPr>
          <w:b/>
          <w:bCs/>
          <w:color w:val="2E75B6"/>
        </w:rPr>
        <w:t>Score 10 (peak satisfaction): Significantly more common among professionals (10.2%), foreign-employed respondents (13.5%), remote workers (12.4%), and PT/Contract/Freelance workers (12.6%) — all vs. career shifters.</w:t>
      </w:r>
    </w:p>
    <w:p w14:paraId="7B05F036" w14:textId="77777777" w:rsidR="00D2004A" w:rsidRDefault="00000000">
      <w:pPr>
        <w:pStyle w:val="ListParagraph"/>
        <w:numPr>
          <w:ilvl w:val="0"/>
          <w:numId w:val="2"/>
        </w:numPr>
        <w:spacing w:before="40" w:after="40"/>
      </w:pPr>
      <w:r>
        <w:rPr>
          <w:b/>
          <w:bCs/>
          <w:color w:val="2E75B6"/>
        </w:rPr>
        <w:t>Scores 8 and 9: Professionals score significantly higher than career shifters on both. The professional group clusters at the 7–10 range.</w:t>
      </w:r>
    </w:p>
    <w:p w14:paraId="2DDD3444" w14:textId="77777777" w:rsidR="00D2004A" w:rsidRDefault="00000000">
      <w:pPr>
        <w:pStyle w:val="ListParagraph"/>
        <w:numPr>
          <w:ilvl w:val="0"/>
          <w:numId w:val="2"/>
        </w:numPr>
        <w:spacing w:before="40" w:after="40"/>
      </w:pPr>
      <w:r>
        <w:rPr>
          <w:color w:val="111111"/>
        </w:rPr>
        <w:t>Low satisfaction (1–5): Career shifters show significantly higher rates at every low score. The pivot period is the dissatisfaction period.</w:t>
      </w:r>
    </w:p>
    <w:p w14:paraId="1A2AD6DE" w14:textId="77777777" w:rsidR="00D2004A" w:rsidRDefault="00D2004A">
      <w:pPr>
        <w:spacing w:after="80"/>
      </w:pPr>
    </w:p>
    <w:p w14:paraId="7881C508" w14:textId="77777777" w:rsidR="00D2004A" w:rsidRDefault="00000000">
      <w:pPr>
        <w:pBdr>
          <w:left w:val="single" w:sz="14" w:space="6" w:color="1F5C2E"/>
        </w:pBdr>
        <w:spacing w:before="80" w:after="80"/>
        <w:ind w:left="360"/>
      </w:pPr>
      <w:r>
        <w:rPr>
          <w:b/>
          <w:bCs/>
          <w:color w:val="1F5C2E"/>
        </w:rPr>
        <w:t xml:space="preserve">Who is most satisfied? </w:t>
      </w:r>
      <w:r>
        <w:t>Foreign-employed remote workers. Score 10 reaches 13.5% for foreign employer respondents and 12.4% for remote workers — both significantly higher than their comparators. Flexibility + employer calibre + compensation is the satisfaction formula.</w:t>
      </w:r>
    </w:p>
    <w:p w14:paraId="2570C190" w14:textId="77777777" w:rsidR="00D2004A" w:rsidRDefault="00D2004A">
      <w:pPr>
        <w:spacing w:after="80"/>
      </w:pPr>
    </w:p>
    <w:p w14:paraId="71BE7C50" w14:textId="77777777" w:rsidR="00D2004A" w:rsidRDefault="00000000">
      <w:pPr>
        <w:spacing w:before="60" w:after="60"/>
      </w:pPr>
      <w:r>
        <w:t>Work setup adds detail: onsite workers show significantly elevated rates at scores 1, 2, and 5. Hybrid workers outperform onsite on scores 6, 8, 9, and 10. The hybrid arrangement is the satisfaction sweet spot for employed full-time professionals.</w:t>
      </w:r>
    </w:p>
    <w:p w14:paraId="33B40273" w14:textId="77777777" w:rsidR="00D2004A" w:rsidRDefault="00D2004A">
      <w:pPr>
        <w:spacing w:after="120"/>
      </w:pPr>
    </w:p>
    <w:p w14:paraId="1BCEB325" w14:textId="77777777" w:rsidR="00D2004A" w:rsidRDefault="00000000">
      <w:pPr>
        <w:pStyle w:val="Heading2"/>
      </w:pPr>
      <w:r>
        <w:t>Are My Skills Updated? The Professional Tool Stack</w:t>
      </w:r>
    </w:p>
    <w:p w14:paraId="63BB6336" w14:textId="77777777" w:rsidR="00D2004A" w:rsidRDefault="00000000">
      <w:pPr>
        <w:spacing w:before="60" w:after="60"/>
      </w:pPr>
      <w:r>
        <w:t>Tools that are significantly more common among professionals than other career stages — these are the professional signals:</w:t>
      </w:r>
    </w:p>
    <w:p w14:paraId="26DA077A" w14:textId="77777777" w:rsidR="00D2004A" w:rsidRDefault="00D2004A">
      <w:pPr>
        <w:spacing w:after="80"/>
      </w:pPr>
    </w:p>
    <w:p w14:paraId="155DACA3" w14:textId="77777777" w:rsidR="00D2004A" w:rsidRDefault="00000000">
      <w:pPr>
        <w:pStyle w:val="Heading3"/>
      </w:pPr>
      <w:r>
        <w:t>Collaboration and workflow:</w:t>
      </w:r>
    </w:p>
    <w:p w14:paraId="45B4B079" w14:textId="77777777" w:rsidR="00D2004A" w:rsidRDefault="00000000">
      <w:pPr>
        <w:pStyle w:val="ListParagraph"/>
        <w:numPr>
          <w:ilvl w:val="0"/>
          <w:numId w:val="2"/>
        </w:numPr>
        <w:spacing w:before="40" w:after="40"/>
      </w:pPr>
      <w:r>
        <w:rPr>
          <w:color w:val="111111"/>
        </w:rPr>
        <w:t>Microsoft Teams (58.6%), SharePoint (37.9%), Confluence (17.8%), Jira (27.3%), Microsoft Planner (10.9%): All significantly higher for professionals. These are the enterprise collaboration tools. Fluency here signals workplace readiness at the senior level.</w:t>
      </w:r>
    </w:p>
    <w:p w14:paraId="3FE2E1D5" w14:textId="77777777" w:rsidR="00D2004A" w:rsidRDefault="00000000">
      <w:pPr>
        <w:pStyle w:val="ListParagraph"/>
        <w:numPr>
          <w:ilvl w:val="0"/>
          <w:numId w:val="2"/>
        </w:numPr>
        <w:spacing w:before="40" w:after="40"/>
      </w:pPr>
      <w:r>
        <w:rPr>
          <w:color w:val="111111"/>
        </w:rPr>
        <w:t>OneDrive (29.4% DA, 27.5% DE), Microsoft Power Automate (19.5%), PowerApps (16.1%): Full Microsoft 365 Power Platform fluency is a professional-tier expectation, especially in DA roles.</w:t>
      </w:r>
    </w:p>
    <w:p w14:paraId="7DFE73FA" w14:textId="77777777" w:rsidR="00D2004A" w:rsidRDefault="00D2004A">
      <w:pPr>
        <w:spacing w:after="80"/>
      </w:pPr>
    </w:p>
    <w:p w14:paraId="25B44897" w14:textId="77777777" w:rsidR="00D2004A" w:rsidRDefault="00000000">
      <w:pPr>
        <w:pStyle w:val="Heading3"/>
      </w:pPr>
      <w:r>
        <w:t>Learning platforms professionals use more:</w:t>
      </w:r>
    </w:p>
    <w:p w14:paraId="10518B9F" w14:textId="77777777" w:rsidR="00D2004A" w:rsidRDefault="00000000">
      <w:pPr>
        <w:pStyle w:val="ListParagraph"/>
        <w:numPr>
          <w:ilvl w:val="0"/>
          <w:numId w:val="2"/>
        </w:numPr>
        <w:spacing w:before="40" w:after="40"/>
      </w:pPr>
      <w:r>
        <w:rPr>
          <w:color w:val="111111"/>
        </w:rPr>
        <w:t>O'Reilly (5.9%), LinkedIn Learning (20.2%), Maven (3.8%), DataTalks.Club (2.3%), MicrosoftLearn (14.1%): All significantly elevated for professionals vs. students or career shifters. Professionals invest in premium and specialist content.</w:t>
      </w:r>
    </w:p>
    <w:p w14:paraId="2366002C" w14:textId="77777777" w:rsidR="00D2004A" w:rsidRDefault="00000000">
      <w:pPr>
        <w:pStyle w:val="ListParagraph"/>
        <w:numPr>
          <w:ilvl w:val="0"/>
          <w:numId w:val="2"/>
        </w:numPr>
        <w:spacing w:before="40" w:after="40"/>
      </w:pPr>
      <w:r>
        <w:rPr>
          <w:color w:val="111111"/>
        </w:rPr>
        <w:t>Udemy (32.6%), Coursera: Both significantly higher for professionals and 30–34-year-olds vs. students. Self-paced structured learning is a professional habit.</w:t>
      </w:r>
    </w:p>
    <w:p w14:paraId="1B214E4F" w14:textId="77777777" w:rsidR="00D2004A" w:rsidRDefault="00D2004A">
      <w:pPr>
        <w:spacing w:after="80"/>
      </w:pPr>
    </w:p>
    <w:p w14:paraId="67C5FA9F" w14:textId="77777777" w:rsidR="00D2004A" w:rsidRDefault="00000000">
      <w:pPr>
        <w:pStyle w:val="Heading3"/>
      </w:pPr>
      <w:r>
        <w:t>AI tool adoption:</w:t>
      </w:r>
    </w:p>
    <w:p w14:paraId="312CA25E" w14:textId="77777777" w:rsidR="00D2004A" w:rsidRDefault="00000000">
      <w:pPr>
        <w:spacing w:before="60" w:after="60"/>
      </w:pPr>
      <w:r>
        <w:t>65.1% of professionals use AI tools daily for work — significantly higher than students and career shifters. The professional group is already AI-native.</w:t>
      </w:r>
    </w:p>
    <w:p w14:paraId="185DCC9D" w14:textId="77777777" w:rsidR="00D2004A" w:rsidRDefault="00000000">
      <w:pPr>
        <w:pStyle w:val="ListParagraph"/>
        <w:numPr>
          <w:ilvl w:val="0"/>
          <w:numId w:val="2"/>
        </w:numPr>
        <w:spacing w:before="40" w:after="40"/>
      </w:pPr>
      <w:r>
        <w:rPr>
          <w:b/>
          <w:bCs/>
          <w:color w:val="2E75B6"/>
        </w:rPr>
        <w:t>Copilot: 52.0% of professionals — significantly higher than career shifters. The enterprise AI of choice for professional environments.</w:t>
      </w:r>
    </w:p>
    <w:p w14:paraId="617F5C0E" w14:textId="77777777" w:rsidR="00D2004A" w:rsidRDefault="00000000">
      <w:pPr>
        <w:pStyle w:val="ListParagraph"/>
        <w:numPr>
          <w:ilvl w:val="0"/>
          <w:numId w:val="2"/>
        </w:numPr>
        <w:spacing w:before="40" w:after="40"/>
      </w:pPr>
      <w:r>
        <w:rPr>
          <w:color w:val="111111"/>
        </w:rPr>
        <w:t>Claude: 30.5% of professionals — significantly higher than career shifters. A marker of more advanced and diverse AI usage patterns.</w:t>
      </w:r>
    </w:p>
    <w:p w14:paraId="6DFB67B0" w14:textId="77777777" w:rsidR="00D2004A" w:rsidRDefault="00000000">
      <w:pPr>
        <w:pStyle w:val="ListParagraph"/>
        <w:numPr>
          <w:ilvl w:val="0"/>
          <w:numId w:val="2"/>
        </w:numPr>
        <w:spacing w:before="40" w:after="40"/>
      </w:pPr>
      <w:r>
        <w:rPr>
          <w:color w:val="111111"/>
        </w:rPr>
        <w:t>GitHub Copilot: Elevated among DE (16.9%) and SE (29.6%), significantly above DA practitioners.</w:t>
      </w:r>
    </w:p>
    <w:p w14:paraId="60C5CCA3" w14:textId="77777777" w:rsidR="00D2004A" w:rsidRDefault="00000000">
      <w:pPr>
        <w:pStyle w:val="ListParagraph"/>
        <w:numPr>
          <w:ilvl w:val="0"/>
          <w:numId w:val="2"/>
        </w:numPr>
        <w:spacing w:before="40" w:after="40"/>
      </w:pPr>
      <w:r>
        <w:rPr>
          <w:color w:val="111111"/>
        </w:rPr>
        <w:t>Daily AI for learning: SE practitioners lead at 70.4%, significantly higher than DA. AI-assisted learning is already a professional norm.</w:t>
      </w:r>
    </w:p>
    <w:p w14:paraId="1F48733E" w14:textId="77777777" w:rsidR="00D2004A" w:rsidRDefault="00D2004A">
      <w:pPr>
        <w:spacing w:after="160"/>
      </w:pPr>
    </w:p>
    <w:p w14:paraId="3979C5D3" w14:textId="77777777" w:rsidR="00D2004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004A" w14:paraId="14E7C6AD" w14:textId="77777777">
        <w:tblPrEx>
          <w:tblCellMar>
            <w:top w:w="0" w:type="dxa"/>
            <w:bottom w:w="0" w:type="dxa"/>
          </w:tblCellMar>
        </w:tblPrEx>
        <w:tc>
          <w:tcPr>
            <w:tcW w:w="9360" w:type="dxa"/>
            <w:tcBorders>
              <w:top w:val="single" w:sz="1" w:space="0" w:color="4A235A"/>
              <w:left w:val="single" w:sz="1" w:space="0" w:color="4A235A"/>
              <w:bottom w:val="single" w:sz="1" w:space="0" w:color="4A235A"/>
              <w:right w:val="single" w:sz="1" w:space="0" w:color="4A235A"/>
            </w:tcBorders>
            <w:shd w:val="clear" w:color="auto" w:fill="4A235A"/>
            <w:tcMar>
              <w:top w:w="160" w:type="dxa"/>
              <w:left w:w="280" w:type="dxa"/>
              <w:bottom w:w="160" w:type="dxa"/>
              <w:right w:w="280" w:type="dxa"/>
            </w:tcMar>
          </w:tcPr>
          <w:p w14:paraId="0FA70141" w14:textId="77777777" w:rsidR="00D2004A" w:rsidRDefault="00000000">
            <w:r>
              <w:rPr>
                <w:b/>
                <w:bCs/>
                <w:color w:val="FFFFFF"/>
                <w:sz w:val="32"/>
                <w:szCs w:val="32"/>
              </w:rPr>
              <w:lastRenderedPageBreak/>
              <w:t>PART 4</w:t>
            </w:r>
            <w:r>
              <w:rPr>
                <w:color w:val="CCDDEE"/>
              </w:rPr>
              <w:t xml:space="preserve">   For DEP Community Leaders</w:t>
            </w:r>
          </w:p>
        </w:tc>
      </w:tr>
    </w:tbl>
    <w:p w14:paraId="1ABD86D5" w14:textId="77777777" w:rsidR="00D2004A" w:rsidRDefault="00D2004A">
      <w:pPr>
        <w:spacing w:after="80"/>
      </w:pPr>
    </w:p>
    <w:p w14:paraId="73EA64C1" w14:textId="77777777" w:rsidR="00D2004A" w:rsidRDefault="00000000">
      <w:pPr>
        <w:pStyle w:val="Heading1"/>
      </w:pPr>
      <w:r>
        <w:rPr>
          <w:color w:val="4A235A"/>
        </w:rPr>
        <w:t>Building the Community: Engagement, Platforms, and the Learning University</w:t>
      </w:r>
    </w:p>
    <w:p w14:paraId="022835FB" w14:textId="77777777" w:rsidR="00D2004A" w:rsidRDefault="00000000">
      <w:pPr>
        <w:pBdr>
          <w:left w:val="single" w:sz="20" w:space="8" w:color="4A235A"/>
        </w:pBdr>
        <w:spacing w:before="80" w:after="80"/>
        <w:ind w:left="480"/>
      </w:pPr>
      <w:r>
        <w:rPr>
          <w:i/>
          <w:iCs/>
          <w:color w:val="4A235A"/>
        </w:rPr>
        <w:t>"What can we do to increase engagement? We already partner with DataCamp — what else are we missing? What are they using that we can hop on? We want to build a self-paced learning university — is that popular?"</w:t>
      </w:r>
    </w:p>
    <w:p w14:paraId="5BAB8705" w14:textId="77777777" w:rsidR="00D2004A" w:rsidRDefault="00D2004A">
      <w:pPr>
        <w:spacing w:after="120"/>
      </w:pPr>
    </w:p>
    <w:p w14:paraId="5E67A46E" w14:textId="77777777" w:rsidR="00D2004A" w:rsidRDefault="00000000">
      <w:pPr>
        <w:pStyle w:val="Heading2"/>
      </w:pPr>
      <w:r>
        <w:t>How the Community Currently Engages With DEP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71DABEB4" w14:textId="77777777">
        <w:tblPrEx>
          <w:tblCellMar>
            <w:top w:w="0" w:type="dxa"/>
            <w:bottom w:w="0" w:type="dxa"/>
          </w:tblCellMar>
        </w:tblPrEx>
        <w:tc>
          <w:tcPr>
            <w:tcW w:w="1720" w:type="dxa"/>
            <w:tcBorders>
              <w:top w:val="single" w:sz="6" w:space="0" w:color="2E75B6"/>
              <w:left w:val="single" w:sz="6" w:space="0" w:color="2E75B6"/>
              <w:bottom w:val="single" w:sz="6" w:space="0" w:color="2E75B6"/>
            </w:tcBorders>
            <w:shd w:val="clear" w:color="auto" w:fill="2E75B6"/>
            <w:tcMar>
              <w:top w:w="100" w:type="dxa"/>
              <w:left w:w="120" w:type="dxa"/>
              <w:bottom w:w="100" w:type="dxa"/>
              <w:right w:w="120" w:type="dxa"/>
            </w:tcMar>
            <w:vAlign w:val="center"/>
          </w:tcPr>
          <w:p w14:paraId="491C0A18" w14:textId="77777777" w:rsidR="00D2004A" w:rsidRDefault="00000000">
            <w:pPr>
              <w:jc w:val="center"/>
            </w:pPr>
            <w:r>
              <w:rPr>
                <w:b/>
                <w:bCs/>
                <w:color w:val="FFFFFF"/>
                <w:sz w:val="52"/>
                <w:szCs w:val="52"/>
              </w:rPr>
              <w:t>92.3%</w:t>
            </w:r>
          </w:p>
        </w:tc>
        <w:tc>
          <w:tcPr>
            <w:tcW w:w="7640" w:type="dxa"/>
            <w:tcBorders>
              <w:top w:val="single" w:sz="6" w:space="0" w:color="2E75B6"/>
              <w:bottom w:val="single" w:sz="6" w:space="0" w:color="2E75B6"/>
              <w:right w:val="single" w:sz="6" w:space="0" w:color="2E75B6"/>
            </w:tcBorders>
            <w:shd w:val="clear" w:color="auto" w:fill="EDF3FB"/>
            <w:tcMar>
              <w:top w:w="100" w:type="dxa"/>
              <w:left w:w="200" w:type="dxa"/>
              <w:bottom w:w="100" w:type="dxa"/>
              <w:right w:w="120" w:type="dxa"/>
            </w:tcMar>
          </w:tcPr>
          <w:p w14:paraId="53BC1767" w14:textId="77777777" w:rsidR="00D2004A" w:rsidRDefault="00000000">
            <w:r>
              <w:t>of students and 92.5% of job seekers report the DEP DataCamp scholarship — both significantly higher than professionals and career shifters. The scholarship owns the early-career audience.</w:t>
            </w:r>
          </w:p>
        </w:tc>
      </w:tr>
    </w:tbl>
    <w:p w14:paraId="6FD2FBFE" w14:textId="77777777" w:rsidR="00D2004A" w:rsidRDefault="00D2004A">
      <w:pPr>
        <w:spacing w:after="80"/>
      </w:pPr>
    </w:p>
    <w:p w14:paraId="0C1A422D" w14:textId="77777777" w:rsidR="00D2004A" w:rsidRDefault="00000000">
      <w:pPr>
        <w:spacing w:before="60" w:after="60"/>
      </w:pPr>
      <w:r>
        <w:t>Beyond the scholarship, the engagement picture is nuanced:</w:t>
      </w:r>
    </w:p>
    <w:p w14:paraId="66697869" w14:textId="77777777" w:rsidR="00D2004A" w:rsidRDefault="00000000">
      <w:pPr>
        <w:pStyle w:val="ListParagraph"/>
        <w:numPr>
          <w:ilvl w:val="0"/>
          <w:numId w:val="2"/>
        </w:numPr>
        <w:spacing w:before="40" w:after="40"/>
      </w:pPr>
      <w:r>
        <w:rPr>
          <w:b/>
          <w:bCs/>
          <w:color w:val="4A235A"/>
        </w:rPr>
        <w:t>DEP Discord channel: 40.0% of professionals, 34.0% of career shifters — both significantly higher than students. Discord is the professional retention channel. It is already working for the hardest segment to keep.</w:t>
      </w:r>
    </w:p>
    <w:p w14:paraId="773D3998" w14:textId="77777777" w:rsidR="00D2004A" w:rsidRDefault="00000000">
      <w:pPr>
        <w:pStyle w:val="ListParagraph"/>
        <w:numPr>
          <w:ilvl w:val="0"/>
          <w:numId w:val="2"/>
        </w:numPr>
        <w:spacing w:before="40" w:after="40"/>
      </w:pPr>
      <w:r>
        <w:rPr>
          <w:b/>
          <w:bCs/>
          <w:color w:val="4A235A"/>
        </w:rPr>
        <w:t>DEP DataMasters: 19.0% of professionals, 10.7% of career shifters — both significantly higher than students. DataMasters resonates with employed practitioners, not early learners.</w:t>
      </w:r>
    </w:p>
    <w:p w14:paraId="02D77A2D" w14:textId="77777777" w:rsidR="00D2004A" w:rsidRDefault="00000000">
      <w:pPr>
        <w:pStyle w:val="ListParagraph"/>
        <w:numPr>
          <w:ilvl w:val="0"/>
          <w:numId w:val="2"/>
        </w:numPr>
        <w:spacing w:before="40" w:after="40"/>
      </w:pPr>
      <w:r>
        <w:rPr>
          <w:b/>
          <w:bCs/>
          <w:color w:val="4A235A"/>
        </w:rPr>
        <w:t>DEP Puso Project: 22.3% of professionals — significantly higher than students and career shifters. Strong flagship engagement at the professional level.</w:t>
      </w:r>
    </w:p>
    <w:p w14:paraId="1F76D0DD" w14:textId="77777777" w:rsidR="00D2004A" w:rsidRDefault="00000000">
      <w:pPr>
        <w:pStyle w:val="ListParagraph"/>
        <w:numPr>
          <w:ilvl w:val="0"/>
          <w:numId w:val="2"/>
        </w:numPr>
        <w:spacing w:before="40" w:after="40"/>
      </w:pPr>
      <w:r>
        <w:rPr>
          <w:b/>
          <w:bCs/>
          <w:color w:val="4A235A"/>
        </w:rPr>
        <w:t>DEP Meetup Group: 22.7% of professionals, 28.8% of DE practitioners — both significantly higher than students. In-person community is a professional-stage behavior.</w:t>
      </w:r>
    </w:p>
    <w:p w14:paraId="2C3770D3" w14:textId="77777777" w:rsidR="00D2004A" w:rsidRDefault="00000000">
      <w:pPr>
        <w:pStyle w:val="ListParagraph"/>
        <w:numPr>
          <w:ilvl w:val="0"/>
          <w:numId w:val="2"/>
        </w:numPr>
        <w:spacing w:before="40" w:after="40"/>
      </w:pPr>
      <w:r>
        <w:rPr>
          <w:color w:val="111111"/>
        </w:rPr>
        <w:t>DEP Study Group and Community Leadership Program: Both 14–24% among professionals, significantly higher than students. The pipeline for community leaders flows from the professional segment.</w:t>
      </w:r>
    </w:p>
    <w:p w14:paraId="65F02485" w14:textId="77777777" w:rsidR="00D2004A" w:rsidRDefault="00D2004A">
      <w:pPr>
        <w:spacing w:after="80"/>
      </w:pPr>
    </w:p>
    <w:p w14:paraId="48B5E24D" w14:textId="77777777" w:rsidR="00D2004A" w:rsidRDefault="00000000">
      <w:pPr>
        <w:pBdr>
          <w:left w:val="single" w:sz="14" w:space="6" w:color="833C00"/>
        </w:pBdr>
        <w:spacing w:before="80" w:after="80"/>
        <w:ind w:left="360"/>
      </w:pPr>
      <w:r>
        <w:rPr>
          <w:b/>
          <w:bCs/>
          <w:color w:val="833C00"/>
        </w:rPr>
        <w:t xml:space="preserve">The funnel gap: </w:t>
      </w:r>
      <w:r>
        <w:t>Students and job seekers engage heavily with the DataCamp scholarship but show significantly lower engagement with every other DEP initiative — Discord, DataMasters, Puso Project, meetups. The scholarship is an on-ramp with no clear off-ramp into the community. This is the engagement conversion problem to solve.</w:t>
      </w:r>
    </w:p>
    <w:p w14:paraId="04B7719A" w14:textId="77777777" w:rsidR="00D2004A" w:rsidRDefault="00D2004A">
      <w:pPr>
        <w:spacing w:after="120"/>
      </w:pPr>
    </w:p>
    <w:p w14:paraId="0C8DDB51" w14:textId="77777777" w:rsidR="00D2004A" w:rsidRDefault="00000000">
      <w:pPr>
        <w:pStyle w:val="Heading2"/>
      </w:pPr>
      <w:r>
        <w:t>DataCamp: Who Is Actually Using It?</w:t>
      </w:r>
    </w:p>
    <w:p w14:paraId="39237902" w14:textId="77777777" w:rsidR="00D2004A" w:rsidRDefault="00000000">
      <w:pPr>
        <w:spacing w:before="60" w:after="60"/>
      </w:pPr>
      <w:r>
        <w:t>DataCamp usage in the digitools data shows a specific pattern beyond the scholarship:</w:t>
      </w:r>
    </w:p>
    <w:p w14:paraId="20E61F9D" w14:textId="77777777" w:rsidR="00D2004A" w:rsidRDefault="00000000">
      <w:pPr>
        <w:pStyle w:val="ListParagraph"/>
        <w:numPr>
          <w:ilvl w:val="0"/>
          <w:numId w:val="2"/>
        </w:numPr>
        <w:spacing w:before="40" w:after="40"/>
      </w:pPr>
      <w:r>
        <w:rPr>
          <w:color w:val="111111"/>
        </w:rPr>
        <w:t>Males: 51.4% use DataCamp — significantly higher than females.</w:t>
      </w:r>
    </w:p>
    <w:p w14:paraId="3757945D" w14:textId="77777777" w:rsidR="00D2004A" w:rsidRDefault="00000000">
      <w:pPr>
        <w:pStyle w:val="ListParagraph"/>
        <w:numPr>
          <w:ilvl w:val="0"/>
          <w:numId w:val="2"/>
        </w:numPr>
        <w:spacing w:before="40" w:after="40"/>
      </w:pPr>
      <w:r>
        <w:rPr>
          <w:color w:val="111111"/>
        </w:rPr>
        <w:t>Job seekers: 54.0% — significantly higher than students and career shifters.</w:t>
      </w:r>
    </w:p>
    <w:p w14:paraId="35E394D1" w14:textId="77777777" w:rsidR="00D2004A" w:rsidRDefault="00000000">
      <w:pPr>
        <w:pStyle w:val="ListParagraph"/>
        <w:numPr>
          <w:ilvl w:val="0"/>
          <w:numId w:val="2"/>
        </w:numPr>
        <w:spacing w:before="40" w:after="40"/>
      </w:pPr>
      <w:r>
        <w:rPr>
          <w:color w:val="111111"/>
        </w:rPr>
        <w:t>Professionals: 55.7% — significantly higher than students and career shifters.</w:t>
      </w:r>
    </w:p>
    <w:p w14:paraId="76D0F861" w14:textId="77777777" w:rsidR="00D2004A" w:rsidRDefault="00D2004A">
      <w:pPr>
        <w:spacing w:after="80"/>
      </w:pPr>
    </w:p>
    <w:p w14:paraId="49D59501" w14:textId="77777777" w:rsidR="00D2004A" w:rsidRDefault="00000000">
      <w:pPr>
        <w:spacing w:before="60" w:after="60"/>
      </w:pPr>
      <w:r>
        <w:lastRenderedPageBreak/>
        <w:t>DataCamp is strongest among job seekers and professionals — people actively applying skills to work. Students engage via the scholarship, but the platform's value compounds at the job-seeking and professional stages.</w:t>
      </w:r>
    </w:p>
    <w:p w14:paraId="21C21345" w14:textId="77777777" w:rsidR="00D2004A" w:rsidRDefault="00D2004A">
      <w:pPr>
        <w:spacing w:after="120"/>
      </w:pPr>
    </w:p>
    <w:p w14:paraId="2D69F19E" w14:textId="77777777" w:rsidR="00D2004A" w:rsidRDefault="00000000">
      <w:pPr>
        <w:pStyle w:val="Heading2"/>
      </w:pPr>
      <w:r>
        <w:t>What Else Are They Using? Adjacent Platforms to Partner With or Build Toward</w:t>
      </w:r>
    </w:p>
    <w:p w14:paraId="5467130A" w14:textId="77777777" w:rsidR="00D2004A" w:rsidRDefault="00000000">
      <w:pPr>
        <w:pStyle w:val="Heading3"/>
      </w:pPr>
      <w:r>
        <w:t>High-usage learning platforms by segment:</w:t>
      </w:r>
    </w:p>
    <w:p w14:paraId="11523BE8" w14:textId="77777777" w:rsidR="00D2004A" w:rsidRDefault="00000000">
      <w:pPr>
        <w:pStyle w:val="ListParagraph"/>
        <w:numPr>
          <w:ilvl w:val="0"/>
          <w:numId w:val="2"/>
        </w:numPr>
        <w:spacing w:before="40" w:after="40"/>
      </w:pPr>
      <w:r>
        <w:rPr>
          <w:b/>
          <w:bCs/>
          <w:color w:val="4A235A"/>
        </w:rPr>
        <w:t>Udemy: 32.6% of professionals and 35.4% of multinational employees — both significantly higher than students. Udemy is the self-paced upskilling platform of the professional segment.</w:t>
      </w:r>
    </w:p>
    <w:p w14:paraId="1AD0DB85" w14:textId="77777777" w:rsidR="00D2004A" w:rsidRDefault="00000000">
      <w:pPr>
        <w:pStyle w:val="ListParagraph"/>
        <w:numPr>
          <w:ilvl w:val="0"/>
          <w:numId w:val="2"/>
        </w:numPr>
        <w:spacing w:before="40" w:after="40"/>
      </w:pPr>
      <w:r>
        <w:rPr>
          <w:b/>
          <w:bCs/>
          <w:color w:val="4A235A"/>
        </w:rPr>
        <w:t>Coursera: 36.7% of 30–34-year-olds and 35.0% of career shifters — significantly higher than younger cohorts. Coursera is the career-pivot platform.</w:t>
      </w:r>
    </w:p>
    <w:p w14:paraId="5982458C" w14:textId="77777777" w:rsidR="00D2004A" w:rsidRDefault="00000000">
      <w:pPr>
        <w:pStyle w:val="ListParagraph"/>
        <w:numPr>
          <w:ilvl w:val="0"/>
          <w:numId w:val="2"/>
        </w:numPr>
        <w:spacing w:before="40" w:after="40"/>
      </w:pPr>
      <w:r>
        <w:rPr>
          <w:b/>
          <w:bCs/>
          <w:color w:val="4A235A"/>
        </w:rPr>
        <w:t>LinkedIn Learning: Professionals (20.2%), DA practitioners (21.1%), multinational employees (19.0%) — all significantly higher. Embedded in professional workflows via LinkedIn's ecosystem.</w:t>
      </w:r>
    </w:p>
    <w:p w14:paraId="75B2E997" w14:textId="77777777" w:rsidR="00D2004A" w:rsidRDefault="00000000">
      <w:pPr>
        <w:pStyle w:val="ListParagraph"/>
        <w:numPr>
          <w:ilvl w:val="0"/>
          <w:numId w:val="2"/>
        </w:numPr>
        <w:spacing w:before="40" w:after="40"/>
      </w:pPr>
      <w:r>
        <w:rPr>
          <w:color w:val="111111"/>
        </w:rPr>
        <w:t>YouTube: 68.7% of students and 67.0% of DA practitioners — significantly higher in their respective comparisons. Still a primary free learning resource across career stages.</w:t>
      </w:r>
    </w:p>
    <w:p w14:paraId="6BB84EF9" w14:textId="77777777" w:rsidR="00D2004A" w:rsidRDefault="00000000">
      <w:pPr>
        <w:pStyle w:val="ListParagraph"/>
        <w:numPr>
          <w:ilvl w:val="0"/>
          <w:numId w:val="2"/>
        </w:numPr>
        <w:spacing w:before="40" w:after="40"/>
      </w:pPr>
      <w:r>
        <w:rPr>
          <w:color w:val="111111"/>
        </w:rPr>
        <w:t>GitHub (57–58% among students and job seekers) and W3Schools (37.0% among students): These are the entry-level practice platforms that define how early-career learners build skills.</w:t>
      </w:r>
    </w:p>
    <w:p w14:paraId="18BA8FE2" w14:textId="77777777" w:rsidR="00D2004A" w:rsidRDefault="00000000">
      <w:pPr>
        <w:pStyle w:val="ListParagraph"/>
        <w:numPr>
          <w:ilvl w:val="0"/>
          <w:numId w:val="2"/>
        </w:numPr>
        <w:spacing w:before="40" w:after="40"/>
      </w:pPr>
      <w:r>
        <w:rPr>
          <w:color w:val="111111"/>
        </w:rPr>
        <w:t>FreeCodeCamp: 20.2% among students and 18.8% among job seekers — both significantly higher than career shifters. The free coding curriculum has strong early-career adoption.</w:t>
      </w:r>
    </w:p>
    <w:p w14:paraId="482E9A75" w14:textId="77777777" w:rsidR="00D2004A" w:rsidRDefault="00D2004A">
      <w:pPr>
        <w:spacing w:after="80"/>
      </w:pPr>
    </w:p>
    <w:p w14:paraId="3EE84DAD" w14:textId="77777777" w:rsidR="00D2004A" w:rsidRDefault="00000000">
      <w:pPr>
        <w:pStyle w:val="Heading3"/>
      </w:pPr>
      <w:r>
        <w:t>Adjacent communities with significant reach:</w:t>
      </w:r>
    </w:p>
    <w:p w14:paraId="70F8B126" w14:textId="77777777" w:rsidR="00D2004A" w:rsidRDefault="00000000">
      <w:pPr>
        <w:pStyle w:val="ListParagraph"/>
        <w:numPr>
          <w:ilvl w:val="0"/>
          <w:numId w:val="2"/>
        </w:numPr>
        <w:spacing w:before="40" w:after="40"/>
      </w:pPr>
      <w:r>
        <w:rPr>
          <w:b/>
          <w:bCs/>
          <w:color w:val="4A235A"/>
        </w:rPr>
        <w:t>Data Analytics Philippines: 47.0% of professionals and 52.0% of DA practitioners — significantly higher than students. The largest adjacent community for the professional analytics segment.</w:t>
      </w:r>
    </w:p>
    <w:p w14:paraId="0FB0EDB4" w14:textId="77777777" w:rsidR="00D2004A" w:rsidRDefault="00000000">
      <w:pPr>
        <w:pStyle w:val="ListParagraph"/>
        <w:numPr>
          <w:ilvl w:val="0"/>
          <w:numId w:val="2"/>
        </w:numPr>
        <w:spacing w:before="40" w:after="40"/>
      </w:pPr>
      <w:r>
        <w:rPr>
          <w:b/>
          <w:bCs/>
          <w:color w:val="4A235A"/>
        </w:rPr>
        <w:t>Power BI Pilipinas: 30.9% of professionals, 38.3% of DA practitioners, 39.3% of 35–39-year-olds — all significantly higher. Power BI communities are deeply embedded in the senior analytics segment.</w:t>
      </w:r>
    </w:p>
    <w:p w14:paraId="119BBF47" w14:textId="77777777" w:rsidR="00D2004A" w:rsidRDefault="00000000">
      <w:pPr>
        <w:pStyle w:val="ListParagraph"/>
        <w:numPr>
          <w:ilvl w:val="0"/>
          <w:numId w:val="2"/>
        </w:numPr>
        <w:spacing w:before="40" w:after="40"/>
      </w:pPr>
      <w:r>
        <w:rPr>
          <w:color w:val="111111"/>
        </w:rPr>
        <w:t>Analytics Association of the Philippines: 18.5% of professionals and 21.1% of multinational employees — both significantly higher. The institutional body with professional and corporate reach.</w:t>
      </w:r>
    </w:p>
    <w:p w14:paraId="1F05B2B4" w14:textId="77777777" w:rsidR="00D2004A" w:rsidRDefault="00000000">
      <w:pPr>
        <w:pStyle w:val="ListParagraph"/>
        <w:numPr>
          <w:ilvl w:val="0"/>
          <w:numId w:val="2"/>
        </w:numPr>
        <w:spacing w:before="40" w:after="40"/>
      </w:pPr>
      <w:r>
        <w:rPr>
          <w:color w:val="111111"/>
        </w:rPr>
        <w:t>DEVCON Philippines: 18.5% of students and 21.4% of SE practitioners — both significantly higher. The tech development community bridges SE and data roles.</w:t>
      </w:r>
    </w:p>
    <w:p w14:paraId="38A567CD" w14:textId="77777777" w:rsidR="00D2004A" w:rsidRDefault="00000000">
      <w:pPr>
        <w:pStyle w:val="ListParagraph"/>
        <w:numPr>
          <w:ilvl w:val="0"/>
          <w:numId w:val="2"/>
        </w:numPr>
        <w:spacing w:before="40" w:after="40"/>
      </w:pPr>
      <w:r>
        <w:rPr>
          <w:color w:val="111111"/>
        </w:rPr>
        <w:t>Community: SPARTA PH: 13.2% of 30–34-year-olds and 9.2% of career shifters — significantly higher than students. Government-aligned upskilling programs resonate with the career-pivot audience.</w:t>
      </w:r>
    </w:p>
    <w:p w14:paraId="3C8BF718" w14:textId="77777777" w:rsidR="00D2004A" w:rsidRDefault="00D2004A">
      <w:pPr>
        <w:spacing w:after="120"/>
      </w:pPr>
    </w:p>
    <w:p w14:paraId="60932277" w14:textId="77777777" w:rsidR="00D2004A" w:rsidRDefault="00000000">
      <w:pPr>
        <w:pStyle w:val="Heading2"/>
      </w:pPr>
      <w:r>
        <w:t>The Self-Paced Learning University: Is It Viable?</w:t>
      </w:r>
    </w:p>
    <w:p w14:paraId="079E2BC4" w14:textId="77777777" w:rsidR="00D2004A" w:rsidRDefault="00000000">
      <w:pPr>
        <w:spacing w:before="60" w:after="60"/>
      </w:pPr>
      <w:r>
        <w:t>The spneeds (special needs) data speaks directly to this:</w:t>
      </w:r>
    </w:p>
    <w:p w14:paraId="5A01AD55"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4625783D" w14:textId="77777777">
        <w:tblPrEx>
          <w:tblCellMar>
            <w:top w:w="0" w:type="dxa"/>
            <w:bottom w:w="0" w:type="dxa"/>
          </w:tblCellMar>
        </w:tblPrEx>
        <w:tc>
          <w:tcPr>
            <w:tcW w:w="1720" w:type="dxa"/>
            <w:tcBorders>
              <w:top w:val="single" w:sz="6" w:space="0" w:color="4A235A"/>
              <w:left w:val="single" w:sz="6" w:space="0" w:color="4A235A"/>
              <w:bottom w:val="single" w:sz="6" w:space="0" w:color="4A235A"/>
            </w:tcBorders>
            <w:shd w:val="clear" w:color="auto" w:fill="4A235A"/>
            <w:tcMar>
              <w:top w:w="100" w:type="dxa"/>
              <w:left w:w="120" w:type="dxa"/>
              <w:bottom w:w="100" w:type="dxa"/>
              <w:right w:w="120" w:type="dxa"/>
            </w:tcMar>
            <w:vAlign w:val="center"/>
          </w:tcPr>
          <w:p w14:paraId="0D637963" w14:textId="77777777" w:rsidR="00D2004A" w:rsidRDefault="00000000">
            <w:pPr>
              <w:jc w:val="center"/>
            </w:pPr>
            <w:r>
              <w:rPr>
                <w:b/>
                <w:bCs/>
                <w:color w:val="FFFFFF"/>
                <w:sz w:val="52"/>
                <w:szCs w:val="52"/>
              </w:rPr>
              <w:t>87.2%</w:t>
            </w:r>
          </w:p>
        </w:tc>
        <w:tc>
          <w:tcPr>
            <w:tcW w:w="7640" w:type="dxa"/>
            <w:tcBorders>
              <w:top w:val="single" w:sz="6" w:space="0" w:color="4A235A"/>
              <w:bottom w:val="single" w:sz="6" w:space="0" w:color="4A235A"/>
              <w:right w:val="single" w:sz="6" w:space="0" w:color="4A235A"/>
            </w:tcBorders>
            <w:shd w:val="clear" w:color="auto" w:fill="EDF3FB"/>
            <w:tcMar>
              <w:top w:w="100" w:type="dxa"/>
              <w:left w:w="200" w:type="dxa"/>
              <w:bottom w:w="100" w:type="dxa"/>
              <w:right w:w="120" w:type="dxa"/>
            </w:tcMar>
          </w:tcPr>
          <w:p w14:paraId="3C3486D5" w14:textId="77777777" w:rsidR="00D2004A" w:rsidRDefault="00000000">
            <w:r>
              <w:t>of job seekers cite Upskill/Skill Acquisition as a need — significantly higher than professionals. The demand for structured learning is sharpest at the entry and pivot stages.</w:t>
            </w:r>
          </w:p>
        </w:tc>
      </w:tr>
    </w:tbl>
    <w:p w14:paraId="2682945A" w14:textId="77777777" w:rsidR="00D2004A" w:rsidRDefault="00D2004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7640"/>
      </w:tblGrid>
      <w:tr w:rsidR="00D2004A" w14:paraId="755B4536" w14:textId="77777777">
        <w:tblPrEx>
          <w:tblCellMar>
            <w:top w:w="0" w:type="dxa"/>
            <w:bottom w:w="0" w:type="dxa"/>
          </w:tblCellMar>
        </w:tblPrEx>
        <w:tc>
          <w:tcPr>
            <w:tcW w:w="1720" w:type="dxa"/>
            <w:tcBorders>
              <w:top w:val="single" w:sz="6" w:space="0" w:color="1F3864"/>
              <w:left w:val="single" w:sz="6" w:space="0" w:color="1F3864"/>
              <w:bottom w:val="single" w:sz="6" w:space="0" w:color="1F3864"/>
            </w:tcBorders>
            <w:shd w:val="clear" w:color="auto" w:fill="1F3864"/>
            <w:tcMar>
              <w:top w:w="100" w:type="dxa"/>
              <w:left w:w="120" w:type="dxa"/>
              <w:bottom w:w="100" w:type="dxa"/>
              <w:right w:w="120" w:type="dxa"/>
            </w:tcMar>
            <w:vAlign w:val="center"/>
          </w:tcPr>
          <w:p w14:paraId="7A821284" w14:textId="77777777" w:rsidR="00D2004A" w:rsidRDefault="00000000">
            <w:pPr>
              <w:jc w:val="center"/>
            </w:pPr>
            <w:r>
              <w:rPr>
                <w:b/>
                <w:bCs/>
                <w:color w:val="FFFFFF"/>
                <w:sz w:val="52"/>
                <w:szCs w:val="52"/>
              </w:rPr>
              <w:lastRenderedPageBreak/>
              <w:t>86.3%</w:t>
            </w:r>
          </w:p>
        </w:tc>
        <w:tc>
          <w:tcPr>
            <w:tcW w:w="7640" w:type="dxa"/>
            <w:tcBorders>
              <w:top w:val="single" w:sz="6" w:space="0" w:color="1F3864"/>
              <w:bottom w:val="single" w:sz="6" w:space="0" w:color="1F3864"/>
              <w:right w:val="single" w:sz="6" w:space="0" w:color="1F3864"/>
            </w:tcBorders>
            <w:shd w:val="clear" w:color="auto" w:fill="EDF3FB"/>
            <w:tcMar>
              <w:top w:w="100" w:type="dxa"/>
              <w:left w:w="200" w:type="dxa"/>
              <w:bottom w:w="100" w:type="dxa"/>
              <w:right w:w="120" w:type="dxa"/>
            </w:tcMar>
          </w:tcPr>
          <w:p w14:paraId="6B0D3947" w14:textId="77777777" w:rsidR="00D2004A" w:rsidRDefault="00000000">
            <w:r>
              <w:t>of career shifters also cite Upskill/Skill Acquisition. Two of DEP's most important audiences are explicitly asking for this.</w:t>
            </w:r>
          </w:p>
        </w:tc>
      </w:tr>
    </w:tbl>
    <w:p w14:paraId="497B2286" w14:textId="77777777" w:rsidR="00D2004A" w:rsidRDefault="00D2004A">
      <w:pPr>
        <w:spacing w:after="80"/>
      </w:pPr>
    </w:p>
    <w:p w14:paraId="13E85CE7" w14:textId="77777777" w:rsidR="00D2004A" w:rsidRDefault="00000000">
      <w:pPr>
        <w:spacing w:before="60" w:after="60"/>
      </w:pPr>
      <w:r>
        <w:t>Continued learning is significantly more common among 30–34-year-olds (84.5%) than younger cohorts — even established professionals want structured pathways. The demand is not just early-career.</w:t>
      </w:r>
    </w:p>
    <w:p w14:paraId="5440C4D0" w14:textId="77777777" w:rsidR="00D2004A" w:rsidRDefault="00D2004A">
      <w:pPr>
        <w:spacing w:after="80"/>
      </w:pPr>
    </w:p>
    <w:p w14:paraId="53CB308F" w14:textId="77777777" w:rsidR="00D2004A" w:rsidRDefault="00000000">
      <w:pPr>
        <w:spacing w:before="60" w:after="60"/>
      </w:pPr>
      <w:r>
        <w:t>What format works? Career advancement is the #1 stated need across career shifters (81.9%) and onsite workers (82.4%) — both significantly higher than their comparators. A DEP learning university that leads with career advancement outcomes — not just skill acquisition — speaks to the most urgent expressed need in the survey.</w:t>
      </w:r>
    </w:p>
    <w:p w14:paraId="3512C55A" w14:textId="77777777" w:rsidR="00D2004A" w:rsidRDefault="00D2004A">
      <w:pPr>
        <w:spacing w:after="80"/>
      </w:pPr>
    </w:p>
    <w:p w14:paraId="2C29DAA6" w14:textId="77777777" w:rsidR="00D2004A" w:rsidRDefault="00000000">
      <w:pPr>
        <w:pStyle w:val="ListParagraph"/>
        <w:numPr>
          <w:ilvl w:val="0"/>
          <w:numId w:val="2"/>
        </w:numPr>
        <w:spacing w:before="40" w:after="40"/>
      </w:pPr>
      <w:r>
        <w:rPr>
          <w:color w:val="111111"/>
        </w:rPr>
        <w:t>Udemy/Coursera-style self-paced: Both platforms show significantly elevated usage among the exact audiences DEP targets (career shifters, professionals, multinationals). The format is proven and familiar.</w:t>
      </w:r>
    </w:p>
    <w:p w14:paraId="5CB5DAAF" w14:textId="77777777" w:rsidR="00D2004A" w:rsidRDefault="00000000">
      <w:pPr>
        <w:pStyle w:val="ListParagraph"/>
        <w:numPr>
          <w:ilvl w:val="0"/>
          <w:numId w:val="2"/>
        </w:numPr>
        <w:spacing w:before="40" w:after="40"/>
      </w:pPr>
      <w:r>
        <w:rPr>
          <w:color w:val="111111"/>
        </w:rPr>
        <w:t>GitHub-anchored projects: Students use GitHub at 57–58% — already their primary project environment. A learning university built around repository-based projects meets students where they already work.</w:t>
      </w:r>
    </w:p>
    <w:p w14:paraId="4793573F" w14:textId="77777777" w:rsidR="00D2004A" w:rsidRDefault="00000000">
      <w:pPr>
        <w:pStyle w:val="ListParagraph"/>
        <w:numPr>
          <w:ilvl w:val="0"/>
          <w:numId w:val="2"/>
        </w:numPr>
        <w:spacing w:before="40" w:after="40"/>
      </w:pPr>
      <w:r>
        <w:rPr>
          <w:color w:val="111111"/>
        </w:rPr>
        <w:t>Discord event delivery: 16.7% of professionals and 10.7% of students attended DEP Discord events, both significantly higher than career shifters. Cohort-based live sessions via Discord are a viable delivery channel for the professional segment.</w:t>
      </w:r>
    </w:p>
    <w:p w14:paraId="7A86E666" w14:textId="77777777" w:rsidR="00D2004A" w:rsidRDefault="00000000">
      <w:pPr>
        <w:pStyle w:val="ListParagraph"/>
        <w:numPr>
          <w:ilvl w:val="0"/>
          <w:numId w:val="2"/>
        </w:numPr>
        <w:spacing w:before="40" w:after="40"/>
      </w:pPr>
      <w:r>
        <w:rPr>
          <w:color w:val="111111"/>
        </w:rPr>
        <w:t>Improve Communication Skills: 55.0% of students and 52.5% of job seekers cite this as a need — both significantly higher than professionals. Soft-skill modules have real demand at the early-career stage.</w:t>
      </w:r>
    </w:p>
    <w:p w14:paraId="2441C115" w14:textId="77777777" w:rsidR="00D2004A" w:rsidRDefault="00D2004A">
      <w:pPr>
        <w:spacing w:after="120"/>
      </w:pPr>
    </w:p>
    <w:p w14:paraId="0998F702" w14:textId="77777777" w:rsidR="00D2004A" w:rsidRDefault="00000000">
      <w:pPr>
        <w:pStyle w:val="Heading2"/>
      </w:pPr>
      <w:r>
        <w:t>Volunteer Capacity: Who Will Help Build It?</w:t>
      </w:r>
    </w:p>
    <w:p w14:paraId="4C48B9EE" w14:textId="77777777" w:rsidR="00D2004A" w:rsidRDefault="00000000">
      <w:pPr>
        <w:spacing w:before="60" w:after="60"/>
      </w:pPr>
      <w:r>
        <w:t>The volunteer data is a resource map for anyone building the learning university:</w:t>
      </w:r>
    </w:p>
    <w:p w14:paraId="1D11ADC3" w14:textId="77777777" w:rsidR="00D2004A" w:rsidRDefault="00000000">
      <w:pPr>
        <w:pStyle w:val="ListParagraph"/>
        <w:numPr>
          <w:ilvl w:val="0"/>
          <w:numId w:val="2"/>
        </w:numPr>
        <w:spacing w:before="40" w:after="40"/>
      </w:pPr>
      <w:r>
        <w:rPr>
          <w:b/>
          <w:bCs/>
          <w:color w:val="4A235A"/>
        </w:rPr>
        <w:t>Share knowledge: 40.7–41.5% across job seekers, professionals, and males — all significantly higher than students alone. The community wants to teach.</w:t>
      </w:r>
    </w:p>
    <w:p w14:paraId="4A43E48F" w14:textId="77777777" w:rsidR="00D2004A" w:rsidRDefault="00000000">
      <w:pPr>
        <w:pStyle w:val="ListParagraph"/>
        <w:numPr>
          <w:ilvl w:val="0"/>
          <w:numId w:val="2"/>
        </w:numPr>
        <w:spacing w:before="40" w:after="40"/>
      </w:pPr>
      <w:r>
        <w:rPr>
          <w:b/>
          <w:bCs/>
          <w:color w:val="4A235A"/>
        </w:rPr>
        <w:t>Mentor: Significantly more common among 30–34 (12.7%), 35–39 (12.9%), and multinational employees (14.9%). Senior professionals in multinationals are the mentorship supply.</w:t>
      </w:r>
    </w:p>
    <w:p w14:paraId="29A4302C" w14:textId="77777777" w:rsidR="00D2004A" w:rsidRDefault="00000000">
      <w:pPr>
        <w:pStyle w:val="ListParagraph"/>
        <w:numPr>
          <w:ilvl w:val="0"/>
          <w:numId w:val="2"/>
        </w:numPr>
        <w:spacing w:before="40" w:after="40"/>
      </w:pPr>
      <w:r>
        <w:rPr>
          <w:color w:val="111111"/>
        </w:rPr>
        <w:t>Teach specific skills: DE practitioners (12.2%) — significantly higher than DA and SE. DE is willing to teach hard technical content.</w:t>
      </w:r>
    </w:p>
    <w:p w14:paraId="1AD8C2E1" w14:textId="77777777" w:rsidR="00D2004A" w:rsidRDefault="00000000">
      <w:pPr>
        <w:pStyle w:val="ListParagraph"/>
        <w:numPr>
          <w:ilvl w:val="0"/>
          <w:numId w:val="2"/>
        </w:numPr>
        <w:spacing w:before="40" w:after="40"/>
      </w:pPr>
      <w:r>
        <w:rPr>
          <w:color w:val="111111"/>
        </w:rPr>
        <w:t>Share experiences and journeys: Job seekers (32.9%) and DE practitioners (33.8%) — both significantly higher than students/DA. The career-story format is where job seekers and DE practitioners want to contribute.</w:t>
      </w:r>
    </w:p>
    <w:p w14:paraId="08B902BD" w14:textId="77777777" w:rsidR="00D2004A" w:rsidRDefault="00D2004A">
      <w:pPr>
        <w:spacing w:after="80"/>
      </w:pPr>
    </w:p>
    <w:p w14:paraId="3CAACDB3" w14:textId="77777777" w:rsidR="00D2004A" w:rsidRDefault="00000000">
      <w:pPr>
        <w:pBdr>
          <w:left w:val="single" w:sz="14" w:space="6" w:color="4A235A"/>
        </w:pBdr>
        <w:spacing w:before="80" w:after="80"/>
        <w:ind w:left="360"/>
      </w:pPr>
      <w:r>
        <w:rPr>
          <w:b/>
          <w:bCs/>
          <w:color w:val="4A235A"/>
        </w:rPr>
        <w:t xml:space="preserve">Bottom line: </w:t>
      </w:r>
      <w:r>
        <w:t>The instructor base already exists. Senior professionals aged 30–39 at multinational companies — particularly in DE and DA — are willing to mentor, teach, and share. A DEP learning university built with this group as instructors directly matches supply to the demand from students and career shifters.</w:t>
      </w:r>
    </w:p>
    <w:p w14:paraId="7FA218FA" w14:textId="77777777" w:rsidR="00D2004A" w:rsidRDefault="00D2004A">
      <w:pPr>
        <w:spacing w:after="160"/>
      </w:pPr>
    </w:p>
    <w:p w14:paraId="08A51D91" w14:textId="77777777" w:rsidR="00D2004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004A" w14:paraId="68A745CD"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280" w:type="dxa"/>
              <w:bottom w:w="160" w:type="dxa"/>
              <w:right w:w="280" w:type="dxa"/>
            </w:tcMar>
          </w:tcPr>
          <w:p w14:paraId="416C0922" w14:textId="77777777" w:rsidR="00D2004A" w:rsidRDefault="00000000">
            <w:r>
              <w:rPr>
                <w:b/>
                <w:bCs/>
                <w:color w:val="FFFFFF"/>
                <w:sz w:val="32"/>
                <w:szCs w:val="32"/>
              </w:rPr>
              <w:lastRenderedPageBreak/>
              <w:t>CLOSING</w:t>
            </w:r>
            <w:r>
              <w:rPr>
                <w:color w:val="CCDDEE"/>
              </w:rPr>
              <w:t xml:space="preserve">   The Shape of a Data Career in the Philippines</w:t>
            </w:r>
          </w:p>
        </w:tc>
      </w:tr>
    </w:tbl>
    <w:p w14:paraId="742DAB40" w14:textId="77777777" w:rsidR="00D2004A" w:rsidRDefault="00D2004A">
      <w:pPr>
        <w:spacing w:after="120"/>
      </w:pPr>
    </w:p>
    <w:p w14:paraId="170FB807" w14:textId="77777777" w:rsidR="00D2004A" w:rsidRDefault="00000000">
      <w:pPr>
        <w:pStyle w:val="Heading1"/>
      </w:pPr>
      <w:r>
        <w:t>Putting It All Together</w:t>
      </w:r>
    </w:p>
    <w:p w14:paraId="5113AF19" w14:textId="77777777" w:rsidR="00D2004A" w:rsidRDefault="00D2004A">
      <w:pPr>
        <w:spacing w:after="80"/>
      </w:pPr>
    </w:p>
    <w:p w14:paraId="7B3121A7" w14:textId="77777777" w:rsidR="00D2004A" w:rsidRDefault="00000000">
      <w:pPr>
        <w:spacing w:before="60" w:after="60"/>
      </w:pPr>
      <w:r>
        <w:t>The 1,732 respondents of the 2026 DEP Annual Survey trace a consistent arc.</w:t>
      </w:r>
    </w:p>
    <w:p w14:paraId="26E50020" w14:textId="77777777" w:rsidR="00D2004A" w:rsidRDefault="00D2004A">
      <w:pPr>
        <w:spacing w:after="80"/>
      </w:pPr>
    </w:p>
    <w:p w14:paraId="3A429A3A" w14:textId="77777777" w:rsidR="00D2004A" w:rsidRDefault="00000000">
      <w:pPr>
        <w:spacing w:before="60" w:after="60"/>
      </w:pPr>
      <w:r>
        <w:t>It starts with a student at 20–24, likely studying CS or ECE, building on GitHub and YouTube, earning a DataCamp scholarship, and applying via LinkedIn and Indeed to local employers. They land between ₱15k and ₱35k and start moving within three to six months as the market calibrates their value.</w:t>
      </w:r>
    </w:p>
    <w:p w14:paraId="28236B4E" w14:textId="77777777" w:rsidR="00D2004A" w:rsidRDefault="00D2004A">
      <w:pPr>
        <w:spacing w:after="80"/>
      </w:pPr>
    </w:p>
    <w:p w14:paraId="71D846B5" w14:textId="77777777" w:rsidR="00D2004A" w:rsidRDefault="00000000">
      <w:pPr>
        <w:spacing w:before="60" w:after="60"/>
      </w:pPr>
      <w:r>
        <w:t>Running alongside that student is a career shifter — 25–39 years old, coming from engineering, admin, or education, learning SQL and Power BI via Coursera and Udemy, working onsite for a local employer, with satisfaction scores that are measurably lower than their professional peers. They are asking the same question every week: how do I get in? The data answers: SQL first, Power BI or Python next, a cloud project after that, LinkedIn and OnlineJobs.ph as the channels, and patience about the 1–2 year employer switch that follows.</w:t>
      </w:r>
    </w:p>
    <w:p w14:paraId="111D7083" w14:textId="77777777" w:rsidR="00D2004A" w:rsidRDefault="00D2004A">
      <w:pPr>
        <w:spacing w:after="80"/>
      </w:pPr>
    </w:p>
    <w:p w14:paraId="317214A7" w14:textId="77777777" w:rsidR="00D2004A" w:rsidRDefault="00000000">
      <w:pPr>
        <w:spacing w:before="60" w:after="60"/>
      </w:pPr>
      <w:r>
        <w:t>By 30–34, the professional who stayed the course is earning ₱45k–₱125k, working hybrid or remote for a multinational or foreign employer, using Teams and Jira and Confluence alongside Databricks and Snowflake, adopting AI tools daily, and scoring 7–10 on satisfaction. The path there ran through 1–2 years per salary band, a deliberate employer switch toward multinationals, and continuous upskilling on Udemy and LinkedIn Learning.</w:t>
      </w:r>
    </w:p>
    <w:p w14:paraId="008F13F4" w14:textId="77777777" w:rsidR="00D2004A" w:rsidRDefault="00D2004A">
      <w:pPr>
        <w:spacing w:after="80"/>
      </w:pPr>
    </w:p>
    <w:p w14:paraId="0BFD1D7C" w14:textId="77777777" w:rsidR="00D2004A" w:rsidRDefault="00000000">
      <w:pPr>
        <w:spacing w:before="60" w:after="60"/>
      </w:pPr>
      <w:r>
        <w:t>The community holding this arc together — DEP — is most deeply embedded at the scholarship end (students and job seekers) and the Discord end (professionals). The gap is the transition: from scholarship recipient to active community member, from first job to employed professional. That gap is exactly where a DEP learning university, built on the tools and formats this community already uses, and taught by the senior professionals who are already willing to teach, has the most to give.</w:t>
      </w:r>
    </w:p>
    <w:p w14:paraId="0860C71D" w14:textId="77777777" w:rsidR="00D2004A" w:rsidRDefault="00D2004A">
      <w:pPr>
        <w:spacing w:after="80"/>
      </w:pPr>
    </w:p>
    <w:p w14:paraId="03C350D5" w14:textId="77777777" w:rsidR="00D2004A" w:rsidRDefault="00D2004A">
      <w:pPr>
        <w:pBdr>
          <w:bottom w:val="single" w:sz="8" w:space="1" w:color="2E75B6"/>
        </w:pBdr>
        <w:spacing w:after="120"/>
      </w:pPr>
    </w:p>
    <w:p w14:paraId="7700BA6E" w14:textId="77777777" w:rsidR="00D2004A" w:rsidRDefault="00D2004A">
      <w:pPr>
        <w:spacing w:after="80"/>
      </w:pPr>
    </w:p>
    <w:p w14:paraId="71FCF53F" w14:textId="77777777" w:rsidR="00D2004A" w:rsidRDefault="00000000">
      <w:pPr>
        <w:jc w:val="center"/>
      </w:pPr>
      <w:r>
        <w:rPr>
          <w:i/>
          <w:iCs/>
          <w:color w:val="888888"/>
          <w:sz w:val="18"/>
          <w:szCs w:val="18"/>
        </w:rPr>
        <w:t>Data Engineering Pilipinas  Annual Survey 2026  •  Significant findings from n=1,732  •  95% confidence  •  Pairwise z-tests within break groups</w:t>
      </w:r>
    </w:p>
    <w:p w14:paraId="10596E0C" w14:textId="77777777" w:rsidR="00D2004A" w:rsidRDefault="00D2004A">
      <w:pPr>
        <w:spacing w:after="80"/>
      </w:pPr>
    </w:p>
    <w:sectPr w:rsidR="00D2004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5950C" w14:textId="77777777" w:rsidR="008352DC" w:rsidRDefault="008352DC">
      <w:r>
        <w:separator/>
      </w:r>
    </w:p>
  </w:endnote>
  <w:endnote w:type="continuationSeparator" w:id="0">
    <w:p w14:paraId="3D457CDC" w14:textId="77777777" w:rsidR="008352DC" w:rsidRDefault="00835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B01D" w14:textId="77777777" w:rsidR="00D2004A" w:rsidRDefault="00000000">
    <w:pPr>
      <w:pBdr>
        <w:top w:val="single" w:sz="4" w:space="1" w:color="2E75B6"/>
      </w:pBdr>
      <w:tabs>
        <w:tab w:val="right" w:pos="9026"/>
      </w:tabs>
    </w:pPr>
    <w:r>
      <w:rPr>
        <w:color w:val="888888"/>
        <w:sz w:val="18"/>
        <w:szCs w:val="18"/>
      </w:rPr>
      <w:t>© 2026 Data Engineering Pilipinas</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131E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131E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B3FF" w14:textId="77777777" w:rsidR="008352DC" w:rsidRDefault="008352DC">
      <w:r>
        <w:separator/>
      </w:r>
    </w:p>
  </w:footnote>
  <w:footnote w:type="continuationSeparator" w:id="0">
    <w:p w14:paraId="276A5A2B" w14:textId="77777777" w:rsidR="008352DC" w:rsidRDefault="00835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DF16B" w14:textId="77777777" w:rsidR="00D2004A" w:rsidRDefault="00000000">
    <w:pPr>
      <w:pBdr>
        <w:bottom w:val="single" w:sz="4" w:space="1" w:color="2E75B6"/>
      </w:pBdr>
      <w:tabs>
        <w:tab w:val="right" w:pos="9026"/>
      </w:tabs>
    </w:pPr>
    <w:r>
      <w:rPr>
        <w:color w:val="888888"/>
        <w:sz w:val="18"/>
        <w:szCs w:val="18"/>
      </w:rPr>
      <w:t>Data Engineering Pilipinas  •  Annual Survey 2026</w:t>
    </w:r>
    <w:r>
      <w:rPr>
        <w:color w:val="888888"/>
        <w:sz w:val="18"/>
        <w:szCs w:val="18"/>
      </w:rPr>
      <w:tab/>
      <w:t>Career Journey in Philippine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0DA"/>
    <w:multiLevelType w:val="hybridMultilevel"/>
    <w:tmpl w:val="39A60776"/>
    <w:lvl w:ilvl="0" w:tplc="B0FE7D44">
      <w:start w:val="1"/>
      <w:numFmt w:val="bullet"/>
      <w:lvlText w:val="●"/>
      <w:lvlJc w:val="left"/>
      <w:pPr>
        <w:ind w:left="720" w:hanging="360"/>
      </w:pPr>
    </w:lvl>
    <w:lvl w:ilvl="1" w:tplc="0448C108">
      <w:start w:val="1"/>
      <w:numFmt w:val="bullet"/>
      <w:lvlText w:val="○"/>
      <w:lvlJc w:val="left"/>
      <w:pPr>
        <w:ind w:left="1440" w:hanging="360"/>
      </w:pPr>
    </w:lvl>
    <w:lvl w:ilvl="2" w:tplc="E5EACC72">
      <w:start w:val="1"/>
      <w:numFmt w:val="bullet"/>
      <w:lvlText w:val="■"/>
      <w:lvlJc w:val="left"/>
      <w:pPr>
        <w:ind w:left="2160" w:hanging="360"/>
      </w:pPr>
    </w:lvl>
    <w:lvl w:ilvl="3" w:tplc="BCD2433A">
      <w:start w:val="1"/>
      <w:numFmt w:val="bullet"/>
      <w:lvlText w:val="●"/>
      <w:lvlJc w:val="left"/>
      <w:pPr>
        <w:ind w:left="2880" w:hanging="360"/>
      </w:pPr>
    </w:lvl>
    <w:lvl w:ilvl="4" w:tplc="579A1BA0">
      <w:start w:val="1"/>
      <w:numFmt w:val="bullet"/>
      <w:lvlText w:val="○"/>
      <w:lvlJc w:val="left"/>
      <w:pPr>
        <w:ind w:left="3600" w:hanging="360"/>
      </w:pPr>
    </w:lvl>
    <w:lvl w:ilvl="5" w:tplc="27240288">
      <w:start w:val="1"/>
      <w:numFmt w:val="bullet"/>
      <w:lvlText w:val="■"/>
      <w:lvlJc w:val="left"/>
      <w:pPr>
        <w:ind w:left="4320" w:hanging="360"/>
      </w:pPr>
    </w:lvl>
    <w:lvl w:ilvl="6" w:tplc="5CA4695A">
      <w:start w:val="1"/>
      <w:numFmt w:val="bullet"/>
      <w:lvlText w:val="●"/>
      <w:lvlJc w:val="left"/>
      <w:pPr>
        <w:ind w:left="5040" w:hanging="360"/>
      </w:pPr>
    </w:lvl>
    <w:lvl w:ilvl="7" w:tplc="0A36FC6C">
      <w:start w:val="1"/>
      <w:numFmt w:val="bullet"/>
      <w:lvlText w:val="●"/>
      <w:lvlJc w:val="left"/>
      <w:pPr>
        <w:ind w:left="5760" w:hanging="360"/>
      </w:pPr>
    </w:lvl>
    <w:lvl w:ilvl="8" w:tplc="546E8AA8">
      <w:start w:val="1"/>
      <w:numFmt w:val="bullet"/>
      <w:lvlText w:val="●"/>
      <w:lvlJc w:val="left"/>
      <w:pPr>
        <w:ind w:left="6480" w:hanging="360"/>
      </w:pPr>
    </w:lvl>
  </w:abstractNum>
  <w:abstractNum w:abstractNumId="1" w15:restartNumberingAfterBreak="0">
    <w:nsid w:val="3D0652EC"/>
    <w:multiLevelType w:val="hybridMultilevel"/>
    <w:tmpl w:val="FDA8B32C"/>
    <w:lvl w:ilvl="0" w:tplc="36945982">
      <w:start w:val="1"/>
      <w:numFmt w:val="bullet"/>
      <w:lvlText w:val="◦"/>
      <w:lvlJc w:val="left"/>
      <w:pPr>
        <w:ind w:left="1060" w:hanging="320"/>
      </w:pPr>
    </w:lvl>
    <w:lvl w:ilvl="1" w:tplc="4EE28822">
      <w:numFmt w:val="decimal"/>
      <w:lvlText w:val=""/>
      <w:lvlJc w:val="left"/>
    </w:lvl>
    <w:lvl w:ilvl="2" w:tplc="1FA2D98C">
      <w:numFmt w:val="decimal"/>
      <w:lvlText w:val=""/>
      <w:lvlJc w:val="left"/>
    </w:lvl>
    <w:lvl w:ilvl="3" w:tplc="7620213E">
      <w:numFmt w:val="decimal"/>
      <w:lvlText w:val=""/>
      <w:lvlJc w:val="left"/>
    </w:lvl>
    <w:lvl w:ilvl="4" w:tplc="92B0D524">
      <w:numFmt w:val="decimal"/>
      <w:lvlText w:val=""/>
      <w:lvlJc w:val="left"/>
    </w:lvl>
    <w:lvl w:ilvl="5" w:tplc="7002792E">
      <w:numFmt w:val="decimal"/>
      <w:lvlText w:val=""/>
      <w:lvlJc w:val="left"/>
    </w:lvl>
    <w:lvl w:ilvl="6" w:tplc="39E8C88C">
      <w:numFmt w:val="decimal"/>
      <w:lvlText w:val=""/>
      <w:lvlJc w:val="left"/>
    </w:lvl>
    <w:lvl w:ilvl="7" w:tplc="398AE6A8">
      <w:numFmt w:val="decimal"/>
      <w:lvlText w:val=""/>
      <w:lvlJc w:val="left"/>
    </w:lvl>
    <w:lvl w:ilvl="8" w:tplc="76C6F904">
      <w:numFmt w:val="decimal"/>
      <w:lvlText w:val=""/>
      <w:lvlJc w:val="left"/>
    </w:lvl>
  </w:abstractNum>
  <w:abstractNum w:abstractNumId="2" w15:restartNumberingAfterBreak="0">
    <w:nsid w:val="62577618"/>
    <w:multiLevelType w:val="hybridMultilevel"/>
    <w:tmpl w:val="AE5A2560"/>
    <w:lvl w:ilvl="0" w:tplc="318892F2">
      <w:start w:val="1"/>
      <w:numFmt w:val="bullet"/>
      <w:lvlText w:val="•"/>
      <w:lvlJc w:val="left"/>
      <w:pPr>
        <w:ind w:left="640" w:hanging="320"/>
      </w:pPr>
    </w:lvl>
    <w:lvl w:ilvl="1" w:tplc="BBEE1F42">
      <w:numFmt w:val="decimal"/>
      <w:lvlText w:val=""/>
      <w:lvlJc w:val="left"/>
    </w:lvl>
    <w:lvl w:ilvl="2" w:tplc="832C953C">
      <w:numFmt w:val="decimal"/>
      <w:lvlText w:val=""/>
      <w:lvlJc w:val="left"/>
    </w:lvl>
    <w:lvl w:ilvl="3" w:tplc="9DE4C30A">
      <w:numFmt w:val="decimal"/>
      <w:lvlText w:val=""/>
      <w:lvlJc w:val="left"/>
    </w:lvl>
    <w:lvl w:ilvl="4" w:tplc="13AE39DE">
      <w:numFmt w:val="decimal"/>
      <w:lvlText w:val=""/>
      <w:lvlJc w:val="left"/>
    </w:lvl>
    <w:lvl w:ilvl="5" w:tplc="886AB84C">
      <w:numFmt w:val="decimal"/>
      <w:lvlText w:val=""/>
      <w:lvlJc w:val="left"/>
    </w:lvl>
    <w:lvl w:ilvl="6" w:tplc="F160A070">
      <w:numFmt w:val="decimal"/>
      <w:lvlText w:val=""/>
      <w:lvlJc w:val="left"/>
    </w:lvl>
    <w:lvl w:ilvl="7" w:tplc="57D4D794">
      <w:numFmt w:val="decimal"/>
      <w:lvlText w:val=""/>
      <w:lvlJc w:val="left"/>
    </w:lvl>
    <w:lvl w:ilvl="8" w:tplc="FD52CAF6">
      <w:numFmt w:val="decimal"/>
      <w:lvlText w:val=""/>
      <w:lvlJc w:val="left"/>
    </w:lvl>
  </w:abstractNum>
  <w:num w:numId="1" w16cid:durableId="230503899">
    <w:abstractNumId w:val="0"/>
    <w:lvlOverride w:ilvl="0">
      <w:startOverride w:val="1"/>
    </w:lvlOverride>
  </w:num>
  <w:num w:numId="2" w16cid:durableId="13367679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04A"/>
    <w:rsid w:val="008352DC"/>
    <w:rsid w:val="00C131EC"/>
    <w:rsid w:val="00D2004A"/>
    <w:rsid w:val="00D8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930E"/>
  <w15:docId w15:val="{2B756451-938A-4A05-8E4E-C16A544A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8"/>
      <w:szCs w:val="38"/>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4049</Words>
  <Characters>23473</Characters>
  <Application>Microsoft Office Word</Application>
  <DocSecurity>0</DocSecurity>
  <Lines>499</Lines>
  <Paragraphs>196</Paragraphs>
  <ScaleCrop>false</ScaleCrop>
  <Company/>
  <LinksUpToDate>false</LinksUpToDate>
  <CharactersWithSpaces>27445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Sandy G Cabanes</cp:lastModifiedBy>
  <cp:revision>2</cp:revision>
  <dcterms:created xsi:type="dcterms:W3CDTF">2026-03-13T11:24:00Z</dcterms:created>
  <dcterms:modified xsi:type="dcterms:W3CDTF">2026-03-13T11:40:00Z</dcterms:modified>
</cp:coreProperties>
</file>