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udt-roadmap-v2"/>
    <w:p>
      <w:pPr>
        <w:pStyle w:val="Heading1"/>
      </w:pPr>
      <w:r>
        <w:t xml:space="preserve">AUDT Roadmap V2</w:t>
      </w:r>
    </w:p>
    <w:bookmarkStart w:id="20" w:name="X8f5b982f32cf445eabff185d86cbb9252f23b24"/>
    <w:p>
      <w:pPr>
        <w:pStyle w:val="Heading2"/>
      </w:pPr>
      <w:r>
        <w:t xml:space="preserve">Phase 2 — From Product Development to Category Leadership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AUDT has successfully completed Phase 1 of its journey.</w:t>
      </w:r>
    </w:p>
    <w:p>
      <w:pPr>
        <w:pStyle w:val="BodyText"/>
      </w:pPr>
      <w:r>
        <w:t xml:space="preserve">Phase 1 focused on building the product.</w:t>
      </w:r>
    </w:p>
    <w:p>
      <w:pPr>
        <w:pStyle w:val="BodyText"/>
      </w:pPr>
      <w:r>
        <w:t xml:space="preserve">Today AUDT includes:</w:t>
      </w:r>
    </w:p>
    <w:p>
      <w:pPr>
        <w:pStyle w:val="Compact"/>
        <w:numPr>
          <w:ilvl w:val="0"/>
          <w:numId w:val="1001"/>
        </w:numPr>
      </w:pPr>
      <w:r>
        <w:t xml:space="preserve">32 integrated platform modules</w:t>
      </w:r>
    </w:p>
    <w:p>
      <w:pPr>
        <w:pStyle w:val="Compact"/>
        <w:numPr>
          <w:ilvl w:val="0"/>
          <w:numId w:val="1001"/>
        </w:numPr>
      </w:pPr>
      <w:r>
        <w:t xml:space="preserve">Vendor Governance</w:t>
      </w:r>
    </w:p>
    <w:p>
      <w:pPr>
        <w:pStyle w:val="Compact"/>
        <w:numPr>
          <w:ilvl w:val="0"/>
          <w:numId w:val="1001"/>
        </w:numPr>
      </w:pPr>
      <w:r>
        <w:t xml:space="preserve">Trust Operations</w:t>
      </w:r>
    </w:p>
    <w:p>
      <w:pPr>
        <w:pStyle w:val="Compact"/>
        <w:numPr>
          <w:ilvl w:val="0"/>
          <w:numId w:val="1001"/>
        </w:numPr>
      </w:pPr>
      <w:r>
        <w:t xml:space="preserve">Risk &amp; Compliance</w:t>
      </w:r>
    </w:p>
    <w:p>
      <w:pPr>
        <w:pStyle w:val="Compact"/>
        <w:numPr>
          <w:ilvl w:val="0"/>
          <w:numId w:val="1001"/>
        </w:numPr>
      </w:pPr>
      <w:r>
        <w:t xml:space="preserve">Trust Intelligence</w:t>
      </w:r>
    </w:p>
    <w:p>
      <w:pPr>
        <w:pStyle w:val="Compact"/>
        <w:numPr>
          <w:ilvl w:val="0"/>
          <w:numId w:val="1001"/>
        </w:numPr>
      </w:pPr>
      <w:r>
        <w:t xml:space="preserve">AI Governance</w:t>
      </w:r>
    </w:p>
    <w:p>
      <w:pPr>
        <w:pStyle w:val="Compact"/>
        <w:numPr>
          <w:ilvl w:val="0"/>
          <w:numId w:val="1001"/>
        </w:numPr>
      </w:pPr>
      <w:r>
        <w:t xml:space="preserve">Executive Reporting</w:t>
      </w:r>
    </w:p>
    <w:p>
      <w:pPr>
        <w:pStyle w:val="Compact"/>
        <w:numPr>
          <w:ilvl w:val="0"/>
          <w:numId w:val="1001"/>
        </w:numPr>
      </w:pPr>
      <w:r>
        <w:t xml:space="preserve">Governance Agents</w:t>
      </w:r>
    </w:p>
    <w:p>
      <w:pPr>
        <w:pStyle w:val="Compact"/>
        <w:numPr>
          <w:ilvl w:val="0"/>
          <w:numId w:val="1001"/>
        </w:numPr>
      </w:pPr>
      <w:r>
        <w:t xml:space="preserve">Continuous Compliance</w:t>
      </w:r>
    </w:p>
    <w:p>
      <w:pPr>
        <w:pStyle w:val="FirstParagraph"/>
      </w:pPr>
      <w:r>
        <w:t xml:space="preserve">The focus now shifts from</w:t>
      </w:r>
      <w:r>
        <w:t xml:space="preserve"> </w:t>
      </w:r>
      <w:r>
        <w:rPr>
          <w:b/>
          <w:bCs/>
        </w:rPr>
        <w:t xml:space="preserve">building more modules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building an enterprise-ready business and category-leading platform</w:t>
      </w:r>
      <w:r>
        <w:t xml:space="preserve">.</w:t>
      </w:r>
    </w:p>
    <w:p>
      <w:pPr>
        <w:pStyle w:val="BodyText"/>
      </w:pPr>
      <w:r>
        <w:t xml:space="preserve">The roadmap is organized into four parallel tracks.</w:t>
      </w:r>
    </w:p>
    <w:p>
      <w:r>
        <w:pict>
          <v:rect style="width:0;height:1.5pt" o:hralign="center" o:hrstd="t" o:hr="t"/>
        </w:pict>
      </w:r>
    </w:p>
    <w:bookmarkEnd w:id="22"/>
    <w:bookmarkStart w:id="23" w:name="phase-2-vision"/>
    <w:p>
      <w:pPr>
        <w:pStyle w:val="Heading1"/>
      </w:pPr>
      <w:r>
        <w:t xml:space="preserve">Phase 2 Vision</w:t>
      </w:r>
    </w:p>
    <w:p>
      <w:pPr>
        <w:pStyle w:val="FirstParagraph"/>
      </w:pPr>
      <w:r>
        <w:t xml:space="preserve">Move AUDT from:</w:t>
      </w:r>
    </w:p>
    <w:p>
      <w:pPr>
        <w:pStyle w:val="BlockText"/>
      </w:pPr>
      <w:r>
        <w:t xml:space="preserve">A feature-rich governance platform</w:t>
      </w:r>
    </w:p>
    <w:p>
      <w:pPr>
        <w:pStyle w:val="FirstParagraph"/>
      </w:pPr>
      <w:r>
        <w:t xml:space="preserve">to</w:t>
      </w:r>
    </w:p>
    <w:p>
      <w:pPr>
        <w:pStyle w:val="BlockText"/>
      </w:pPr>
      <w:r>
        <w:t xml:space="preserve">The AI Trust Operating System for modern enterprises.</w:t>
      </w:r>
    </w:p>
    <w:p>
      <w:r>
        <w:pict>
          <v:rect style="width:0;height:1.5pt" o:hralign="center" o:hrstd="t" o:hr="t"/>
        </w:pict>
      </w:r>
    </w:p>
    <w:bookmarkEnd w:id="23"/>
    <w:bookmarkStart w:id="24" w:name="four-strategic-tracks"/>
    <w:p>
      <w:pPr>
        <w:pStyle w:val="Heading1"/>
      </w:pPr>
      <w:r>
        <w:t xml:space="preserve">Four Strategic Tracks</w:t>
      </w:r>
    </w:p>
    <w:p>
      <w:pPr>
        <w:pStyle w:val="SourceCode"/>
      </w:pPr>
      <w:r>
        <w:rPr>
          <w:rStyle w:val="VerbatimChar"/>
        </w:rPr>
        <w:t xml:space="preserve">Track A</w:t>
      </w:r>
      <w:r>
        <w:br/>
      </w:r>
      <w:r>
        <w:rPr>
          <w:rStyle w:val="VerbatimChar"/>
        </w:rPr>
        <w:t xml:space="preserve">Product Excellence</w:t>
      </w:r>
      <w:r>
        <w:br/>
      </w:r>
      <w:r>
        <w:br/>
      </w:r>
      <w:r>
        <w:rPr>
          <w:rStyle w:val="VerbatimChar"/>
        </w:rPr>
        <w:t xml:space="preserve">Track B</w:t>
      </w:r>
      <w:r>
        <w:br/>
      </w:r>
      <w:r>
        <w:rPr>
          <w:rStyle w:val="VerbatimChar"/>
        </w:rPr>
        <w:t xml:space="preserve">Platform Readiness</w:t>
      </w:r>
      <w:r>
        <w:br/>
      </w:r>
      <w:r>
        <w:br/>
      </w:r>
      <w:r>
        <w:rPr>
          <w:rStyle w:val="VerbatimChar"/>
        </w:rPr>
        <w:t xml:space="preserve">Track C</w:t>
      </w:r>
      <w:r>
        <w:br/>
      </w:r>
      <w:r>
        <w:rPr>
          <w:rStyle w:val="VerbatimChar"/>
        </w:rPr>
        <w:t xml:space="preserve">Commercial Readiness</w:t>
      </w:r>
      <w:r>
        <w:br/>
      </w:r>
      <w:r>
        <w:br/>
      </w:r>
      <w:r>
        <w:rPr>
          <w:rStyle w:val="VerbatimChar"/>
        </w:rPr>
        <w:t xml:space="preserve">Track D</w:t>
      </w:r>
      <w:r>
        <w:br/>
      </w:r>
      <w:r>
        <w:rPr>
          <w:rStyle w:val="VerbatimChar"/>
        </w:rPr>
        <w:t xml:space="preserve">Go-To-Market Execution</w:t>
      </w:r>
    </w:p>
    <w:p>
      <w:pPr>
        <w:pStyle w:val="FirstParagraph"/>
      </w:pPr>
      <w:r>
        <w:t xml:space="preserve">Each track progresses independently but contributes to the same business objective:</w:t>
      </w:r>
    </w:p>
    <w:p>
      <w:pPr>
        <w:pStyle w:val="BodyText"/>
      </w:pPr>
      <w:r>
        <w:t xml:space="preserve">Acquire, onboard, and retain enterprise customers.</w:t>
      </w:r>
    </w:p>
    <w:p>
      <w:r>
        <w:pict>
          <v:rect style="width:0;height:1.5pt" o:hralign="center" o:hrstd="t" o:hr="t"/>
        </w:pict>
      </w:r>
    </w:p>
    <w:bookmarkEnd w:id="24"/>
    <w:bookmarkStart w:id="25" w:name="track-a"/>
    <w:p>
      <w:pPr>
        <w:pStyle w:val="Heading1"/>
      </w:pPr>
      <w:r>
        <w:t xml:space="preserve">TRACK A</w:t>
      </w:r>
    </w:p>
    <w:bookmarkEnd w:id="25"/>
    <w:bookmarkStart w:id="33" w:name="product-excellence"/>
    <w:p>
      <w:pPr>
        <w:pStyle w:val="Heading1"/>
      </w:pPr>
      <w:r>
        <w:t xml:space="preserve">Product Excellence</w:t>
      </w:r>
    </w:p>
    <w:bookmarkStart w:id="26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Polish and mature every existing module.</w:t>
      </w:r>
    </w:p>
    <w:p>
      <w:pPr>
        <w:pStyle w:val="BodyText"/>
      </w:pPr>
      <w:r>
        <w:t xml:space="preserve">No new major modules should be added until the existing platform reaches enterprise quality.</w:t>
      </w:r>
    </w:p>
    <w:p>
      <w:r>
        <w:pict>
          <v:rect style="width:0;height:1.5pt" o:hralign="center" o:hrstd="t" o:hr="t"/>
        </w:pict>
      </w:r>
    </w:p>
    <w:bookmarkEnd w:id="26"/>
    <w:bookmarkStart w:id="32" w:name="objectives"/>
    <w:p>
      <w:pPr>
        <w:pStyle w:val="Heading2"/>
      </w:pPr>
      <w:r>
        <w:t xml:space="preserve">Objectives</w:t>
      </w:r>
    </w:p>
    <w:bookmarkStart w:id="27" w:name="complete-module-maturity"/>
    <w:p>
      <w:pPr>
        <w:pStyle w:val="Heading3"/>
      </w:pPr>
      <w:r>
        <w:t xml:space="preserve">1. Complete Module Maturity</w:t>
      </w:r>
    </w:p>
    <w:p>
      <w:pPr>
        <w:pStyle w:val="FirstParagraph"/>
      </w:pPr>
      <w:r>
        <w:t xml:space="preserve">Review every module against:</w:t>
      </w:r>
    </w:p>
    <w:p>
      <w:pPr>
        <w:pStyle w:val="Compact"/>
        <w:numPr>
          <w:ilvl w:val="0"/>
          <w:numId w:val="1002"/>
        </w:numPr>
      </w:pPr>
      <w:r>
        <w:t xml:space="preserve">User experience</w:t>
      </w:r>
    </w:p>
    <w:p>
      <w:pPr>
        <w:pStyle w:val="Compact"/>
        <w:numPr>
          <w:ilvl w:val="0"/>
          <w:numId w:val="1002"/>
        </w:numPr>
      </w:pPr>
      <w:r>
        <w:t xml:space="preserve">Workflow completeness</w:t>
      </w:r>
    </w:p>
    <w:p>
      <w:pPr>
        <w:pStyle w:val="Compact"/>
        <w:numPr>
          <w:ilvl w:val="0"/>
          <w:numId w:val="1002"/>
        </w:numPr>
      </w:pPr>
      <w:r>
        <w:t xml:space="preserve">Executive reporting</w:t>
      </w:r>
    </w:p>
    <w:p>
      <w:pPr>
        <w:pStyle w:val="Compact"/>
        <w:numPr>
          <w:ilvl w:val="0"/>
          <w:numId w:val="1002"/>
        </w:numPr>
      </w:pPr>
      <w:r>
        <w:t xml:space="preserve">AI capabilities</w:t>
      </w:r>
    </w:p>
    <w:p>
      <w:pPr>
        <w:pStyle w:val="Compact"/>
        <w:numPr>
          <w:ilvl w:val="0"/>
          <w:numId w:val="1002"/>
        </w:numPr>
      </w:pPr>
      <w:r>
        <w:t xml:space="preserve">Cross-module integration</w:t>
      </w:r>
    </w:p>
    <w:p>
      <w:pPr>
        <w:pStyle w:val="Compact"/>
        <w:numPr>
          <w:ilvl w:val="0"/>
          <w:numId w:val="1002"/>
        </w:numPr>
      </w:pPr>
      <w:r>
        <w:t xml:space="preserve">Performance</w:t>
      </w:r>
    </w:p>
    <w:p>
      <w:pPr>
        <w:pStyle w:val="Compact"/>
        <w:numPr>
          <w:ilvl w:val="0"/>
          <w:numId w:val="1002"/>
        </w:numPr>
      </w:pPr>
      <w:r>
        <w:t xml:space="preserve">Enterprise readiness</w:t>
      </w:r>
    </w:p>
    <w:p>
      <w:r>
        <w:pict>
          <v:rect style="width:0;height:1.5pt" o:hralign="center" o:hrstd="t" o:hr="t"/>
        </w:pict>
      </w:r>
    </w:p>
    <w:bookmarkEnd w:id="27"/>
    <w:bookmarkStart w:id="28" w:name="standardize-platform-experience"/>
    <w:p>
      <w:pPr>
        <w:pStyle w:val="Heading3"/>
      </w:pPr>
      <w:r>
        <w:t xml:space="preserve">2. Standardize Platform Experience</w:t>
      </w:r>
    </w:p>
    <w:p>
      <w:pPr>
        <w:pStyle w:val="FirstParagraph"/>
      </w:pPr>
      <w:r>
        <w:t xml:space="preserve">Across all modules:</w:t>
      </w:r>
    </w:p>
    <w:p>
      <w:pPr>
        <w:pStyle w:val="Compact"/>
        <w:numPr>
          <w:ilvl w:val="0"/>
          <w:numId w:val="1003"/>
        </w:numPr>
      </w:pPr>
      <w:r>
        <w:t xml:space="preserve">Dashboard layouts</w:t>
      </w:r>
    </w:p>
    <w:p>
      <w:pPr>
        <w:pStyle w:val="Compact"/>
        <w:numPr>
          <w:ilvl w:val="0"/>
          <w:numId w:val="1003"/>
        </w:numPr>
      </w:pPr>
      <w:r>
        <w:t xml:space="preserve">KPI cards</w:t>
      </w:r>
    </w:p>
    <w:p>
      <w:pPr>
        <w:pStyle w:val="Compact"/>
        <w:numPr>
          <w:ilvl w:val="0"/>
          <w:numId w:val="1003"/>
        </w:numPr>
      </w:pPr>
      <w:r>
        <w:t xml:space="preserve">Navigation</w:t>
      </w:r>
    </w:p>
    <w:p>
      <w:pPr>
        <w:pStyle w:val="Compact"/>
        <w:numPr>
          <w:ilvl w:val="0"/>
          <w:numId w:val="1003"/>
        </w:numPr>
      </w:pPr>
      <w:r>
        <w:t xml:space="preserve">Reports</w:t>
      </w:r>
    </w:p>
    <w:p>
      <w:pPr>
        <w:pStyle w:val="Compact"/>
        <w:numPr>
          <w:ilvl w:val="0"/>
          <w:numId w:val="1003"/>
        </w:numPr>
      </w:pPr>
      <w:r>
        <w:t xml:space="preserve">AI Copilot naming</w:t>
      </w:r>
    </w:p>
    <w:p>
      <w:pPr>
        <w:pStyle w:val="Compact"/>
        <w:numPr>
          <w:ilvl w:val="0"/>
          <w:numId w:val="1003"/>
        </w:numPr>
      </w:pPr>
      <w:r>
        <w:t xml:space="preserve">Empty states</w:t>
      </w:r>
    </w:p>
    <w:p>
      <w:pPr>
        <w:pStyle w:val="Compact"/>
        <w:numPr>
          <w:ilvl w:val="0"/>
          <w:numId w:val="1003"/>
        </w:numPr>
      </w:pPr>
      <w:r>
        <w:t xml:space="preserve">Filters</w:t>
      </w:r>
    </w:p>
    <w:p>
      <w:pPr>
        <w:pStyle w:val="Compact"/>
        <w:numPr>
          <w:ilvl w:val="0"/>
          <w:numId w:val="1003"/>
        </w:numPr>
      </w:pPr>
      <w:r>
        <w:t xml:space="preserve">Search</w:t>
      </w:r>
    </w:p>
    <w:p>
      <w:pPr>
        <w:pStyle w:val="Compact"/>
        <w:numPr>
          <w:ilvl w:val="0"/>
          <w:numId w:val="1003"/>
        </w:numPr>
      </w:pPr>
      <w:r>
        <w:t xml:space="preserve">Export</w:t>
      </w:r>
    </w:p>
    <w:p>
      <w:pPr>
        <w:pStyle w:val="Compact"/>
        <w:numPr>
          <w:ilvl w:val="0"/>
          <w:numId w:val="1003"/>
        </w:numPr>
      </w:pPr>
      <w:r>
        <w:t xml:space="preserve">Bulk actions</w:t>
      </w:r>
    </w:p>
    <w:p>
      <w:r>
        <w:pict>
          <v:rect style="width:0;height:1.5pt" o:hralign="center" o:hrstd="t" o:hr="t"/>
        </w:pict>
      </w:r>
    </w:p>
    <w:bookmarkEnd w:id="28"/>
    <w:bookmarkStart w:id="29" w:name="strengthen-cross-module-relationships"/>
    <w:p>
      <w:pPr>
        <w:pStyle w:val="Heading3"/>
      </w:pPr>
      <w:r>
        <w:t xml:space="preserve">3. Strengthen Cross-Module Relationships</w:t>
      </w:r>
    </w:p>
    <w:p>
      <w:pPr>
        <w:pStyle w:val="FirstParagraph"/>
      </w:pPr>
      <w:r>
        <w:t xml:space="preserve">Every module should connect to:</w:t>
      </w:r>
    </w:p>
    <w:p>
      <w:pPr>
        <w:pStyle w:val="Compact"/>
        <w:numPr>
          <w:ilvl w:val="0"/>
          <w:numId w:val="1004"/>
        </w:numPr>
      </w:pPr>
      <w:r>
        <w:t xml:space="preserve">Vendors</w:t>
      </w:r>
    </w:p>
    <w:p>
      <w:pPr>
        <w:pStyle w:val="Compact"/>
        <w:numPr>
          <w:ilvl w:val="0"/>
          <w:numId w:val="1004"/>
        </w:numPr>
      </w:pPr>
      <w:r>
        <w:t xml:space="preserve">Assets</w:t>
      </w:r>
    </w:p>
    <w:p>
      <w:pPr>
        <w:pStyle w:val="Compact"/>
        <w:numPr>
          <w:ilvl w:val="0"/>
          <w:numId w:val="1004"/>
        </w:numPr>
      </w:pPr>
      <w:r>
        <w:t xml:space="preserve">Contracts</w:t>
      </w:r>
    </w:p>
    <w:p>
      <w:pPr>
        <w:pStyle w:val="Compact"/>
        <w:numPr>
          <w:ilvl w:val="0"/>
          <w:numId w:val="1004"/>
        </w:numPr>
      </w:pPr>
      <w:r>
        <w:t xml:space="preserve">Controls</w:t>
      </w:r>
    </w:p>
    <w:p>
      <w:pPr>
        <w:pStyle w:val="Compact"/>
        <w:numPr>
          <w:ilvl w:val="0"/>
          <w:numId w:val="1004"/>
        </w:numPr>
      </w:pPr>
      <w:r>
        <w:t xml:space="preserve">Policies</w:t>
      </w:r>
    </w:p>
    <w:p>
      <w:pPr>
        <w:pStyle w:val="Compact"/>
        <w:numPr>
          <w:ilvl w:val="0"/>
          <w:numId w:val="1004"/>
        </w:numPr>
      </w:pPr>
      <w:r>
        <w:t xml:space="preserve">Risks</w:t>
      </w:r>
    </w:p>
    <w:p>
      <w:pPr>
        <w:pStyle w:val="Compact"/>
        <w:numPr>
          <w:ilvl w:val="0"/>
          <w:numId w:val="1004"/>
        </w:numPr>
      </w:pPr>
      <w:r>
        <w:t xml:space="preserve">Evidence</w:t>
      </w:r>
    </w:p>
    <w:p>
      <w:pPr>
        <w:pStyle w:val="Compact"/>
        <w:numPr>
          <w:ilvl w:val="0"/>
          <w:numId w:val="1004"/>
        </w:numPr>
      </w:pPr>
      <w:r>
        <w:t xml:space="preserve">Audits</w:t>
      </w:r>
    </w:p>
    <w:p>
      <w:pPr>
        <w:pStyle w:val="Compact"/>
        <w:numPr>
          <w:ilvl w:val="0"/>
          <w:numId w:val="1004"/>
        </w:numPr>
      </w:pPr>
      <w:r>
        <w:t xml:space="preserve">Findings</w:t>
      </w:r>
    </w:p>
    <w:p>
      <w:pPr>
        <w:pStyle w:val="Compact"/>
        <w:numPr>
          <w:ilvl w:val="0"/>
          <w:numId w:val="1004"/>
        </w:numPr>
      </w:pPr>
      <w:r>
        <w:t xml:space="preserve">Trust Score</w:t>
      </w:r>
    </w:p>
    <w:p>
      <w:r>
        <w:pict>
          <v:rect style="width:0;height:1.5pt" o:hralign="center" o:hrstd="t" o:hr="t"/>
        </w:pict>
      </w:r>
    </w:p>
    <w:bookmarkEnd w:id="29"/>
    <w:bookmarkStart w:id="30" w:name="enhance-trust-intelligence"/>
    <w:p>
      <w:pPr>
        <w:pStyle w:val="Heading3"/>
      </w:pPr>
      <w:r>
        <w:t xml:space="preserve">4. Enhance Trust Intelligence</w:t>
      </w:r>
    </w:p>
    <w:p>
      <w:pPr>
        <w:pStyle w:val="FirstParagraph"/>
      </w:pPr>
      <w:r>
        <w:t xml:space="preserve">Focus on:</w:t>
      </w:r>
    </w:p>
    <w:p>
      <w:pPr>
        <w:pStyle w:val="Compact"/>
        <w:numPr>
          <w:ilvl w:val="0"/>
          <w:numId w:val="1005"/>
        </w:numPr>
      </w:pPr>
      <w:r>
        <w:t xml:space="preserve">Explainable Trust Score</w:t>
      </w:r>
    </w:p>
    <w:p>
      <w:pPr>
        <w:pStyle w:val="Compact"/>
        <w:numPr>
          <w:ilvl w:val="0"/>
          <w:numId w:val="1005"/>
        </w:numPr>
      </w:pPr>
      <w:r>
        <w:t xml:space="preserve">Trust Forecasting</w:t>
      </w:r>
    </w:p>
    <w:p>
      <w:pPr>
        <w:pStyle w:val="Compact"/>
        <w:numPr>
          <w:ilvl w:val="0"/>
          <w:numId w:val="1005"/>
        </w:numPr>
      </w:pPr>
      <w:r>
        <w:t xml:space="preserve">Executive Recommendations</w:t>
      </w:r>
    </w:p>
    <w:p>
      <w:pPr>
        <w:pStyle w:val="Compact"/>
        <w:numPr>
          <w:ilvl w:val="0"/>
          <w:numId w:val="1005"/>
        </w:numPr>
      </w:pPr>
      <w:r>
        <w:t xml:space="preserve">Trust Relationship Graph</w:t>
      </w:r>
    </w:p>
    <w:p>
      <w:pPr>
        <w:pStyle w:val="Compact"/>
        <w:numPr>
          <w:ilvl w:val="0"/>
          <w:numId w:val="1005"/>
        </w:numPr>
      </w:pPr>
      <w:r>
        <w:t xml:space="preserve">Vendor Trust Ranking</w:t>
      </w:r>
    </w:p>
    <w:p>
      <w:pPr>
        <w:pStyle w:val="Compact"/>
        <w:numPr>
          <w:ilvl w:val="0"/>
          <w:numId w:val="1005"/>
        </w:numPr>
      </w:pPr>
      <w:r>
        <w:t xml:space="preserve">Governance Momentum</w:t>
      </w:r>
    </w:p>
    <w:p>
      <w:r>
        <w:pict>
          <v:rect style="width:0;height:1.5pt" o:hralign="center" o:hrstd="t" o:hr="t"/>
        </w:pict>
      </w:r>
    </w:p>
    <w:bookmarkEnd w:id="30"/>
    <w:bookmarkStart w:id="31" w:name="success-criteria"/>
    <w:p>
      <w:pPr>
        <w:pStyle w:val="Heading3"/>
      </w:pPr>
      <w:r>
        <w:t xml:space="preserve">Success Criteria</w:t>
      </w:r>
    </w:p>
    <w:p>
      <w:pPr>
        <w:pStyle w:val="FirstParagraph"/>
      </w:pPr>
      <w:r>
        <w:t xml:space="preserve">Every module feels like part of one unified platform rather than independent applications.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track-b"/>
    <w:p>
      <w:pPr>
        <w:pStyle w:val="Heading1"/>
      </w:pPr>
      <w:r>
        <w:t xml:space="preserve">TRACK B</w:t>
      </w:r>
    </w:p>
    <w:bookmarkEnd w:id="34"/>
    <w:bookmarkStart w:id="45" w:name="platform-readiness"/>
    <w:p>
      <w:pPr>
        <w:pStyle w:val="Heading1"/>
      </w:pPr>
      <w:r>
        <w:t xml:space="preserve">Platform Readiness</w:t>
      </w:r>
    </w:p>
    <w:bookmarkStart w:id="35" w:name="goal-1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Build the enterprise platform capabilities required for production customers.</w:t>
      </w:r>
    </w:p>
    <w:p>
      <w:r>
        <w:pict>
          <v:rect style="width:0;height:1.5pt" o:hralign="center" o:hrstd="t" o:hr="t"/>
        </w:pict>
      </w:r>
    </w:p>
    <w:bookmarkEnd w:id="35"/>
    <w:bookmarkStart w:id="36" w:name="identity-access"/>
    <w:p>
      <w:pPr>
        <w:pStyle w:val="Heading2"/>
      </w:pPr>
      <w:r>
        <w:t xml:space="preserve">Identity &amp; Access</w:t>
      </w:r>
    </w:p>
    <w:p>
      <w:pPr>
        <w:pStyle w:val="Compact"/>
        <w:numPr>
          <w:ilvl w:val="0"/>
          <w:numId w:val="1006"/>
        </w:numPr>
      </w:pPr>
      <w:r>
        <w:t xml:space="preserve">SSO</w:t>
      </w:r>
    </w:p>
    <w:p>
      <w:pPr>
        <w:pStyle w:val="Compact"/>
        <w:numPr>
          <w:ilvl w:val="0"/>
          <w:numId w:val="1006"/>
        </w:numPr>
      </w:pPr>
      <w:r>
        <w:t xml:space="preserve">SAML</w:t>
      </w:r>
    </w:p>
    <w:p>
      <w:pPr>
        <w:pStyle w:val="Compact"/>
        <w:numPr>
          <w:ilvl w:val="0"/>
          <w:numId w:val="1006"/>
        </w:numPr>
      </w:pPr>
      <w:r>
        <w:t xml:space="preserve">Azure AD</w:t>
      </w:r>
    </w:p>
    <w:p>
      <w:pPr>
        <w:pStyle w:val="Compact"/>
        <w:numPr>
          <w:ilvl w:val="0"/>
          <w:numId w:val="1006"/>
        </w:numPr>
      </w:pPr>
      <w:r>
        <w:t xml:space="preserve">Google Workspace</w:t>
      </w:r>
    </w:p>
    <w:p>
      <w:pPr>
        <w:pStyle w:val="Compact"/>
        <w:numPr>
          <w:ilvl w:val="0"/>
          <w:numId w:val="1006"/>
        </w:numPr>
      </w:pPr>
      <w:r>
        <w:t xml:space="preserve">Okta</w:t>
      </w:r>
    </w:p>
    <w:p>
      <w:pPr>
        <w:pStyle w:val="Compact"/>
        <w:numPr>
          <w:ilvl w:val="0"/>
          <w:numId w:val="1006"/>
        </w:numPr>
      </w:pPr>
      <w:r>
        <w:t xml:space="preserve">MFA</w:t>
      </w:r>
    </w:p>
    <w:p>
      <w:pPr>
        <w:pStyle w:val="Compact"/>
        <w:numPr>
          <w:ilvl w:val="0"/>
          <w:numId w:val="1006"/>
        </w:numPr>
      </w:pPr>
      <w:r>
        <w:t xml:space="preserve">SCIM provisioning</w:t>
      </w:r>
    </w:p>
    <w:p>
      <w:r>
        <w:pict>
          <v:rect style="width:0;height:1.5pt" o:hralign="center" o:hrstd="t" o:hr="t"/>
        </w:pict>
      </w:r>
    </w:p>
    <w:bookmarkEnd w:id="36"/>
    <w:bookmarkStart w:id="37" w:name="licensing"/>
    <w:p>
      <w:pPr>
        <w:pStyle w:val="Heading2"/>
      </w:pPr>
      <w:r>
        <w:t xml:space="preserve">Licensing</w:t>
      </w:r>
    </w:p>
    <w:p>
      <w:pPr>
        <w:pStyle w:val="Compact"/>
        <w:numPr>
          <w:ilvl w:val="0"/>
          <w:numId w:val="1007"/>
        </w:numPr>
      </w:pPr>
      <w:r>
        <w:t xml:space="preserve">Subscription plans</w:t>
      </w:r>
    </w:p>
    <w:p>
      <w:pPr>
        <w:pStyle w:val="Compact"/>
        <w:numPr>
          <w:ilvl w:val="0"/>
          <w:numId w:val="1007"/>
        </w:numPr>
      </w:pPr>
      <w:r>
        <w:t xml:space="preserve">Feature flags</w:t>
      </w:r>
    </w:p>
    <w:p>
      <w:pPr>
        <w:pStyle w:val="Compact"/>
        <w:numPr>
          <w:ilvl w:val="0"/>
          <w:numId w:val="1007"/>
        </w:numPr>
      </w:pPr>
      <w:r>
        <w:t xml:space="preserve">Usage limits</w:t>
      </w:r>
    </w:p>
    <w:p>
      <w:pPr>
        <w:pStyle w:val="Compact"/>
        <w:numPr>
          <w:ilvl w:val="0"/>
          <w:numId w:val="1007"/>
        </w:numPr>
      </w:pPr>
      <w:r>
        <w:t xml:space="preserve">Trial management</w:t>
      </w:r>
    </w:p>
    <w:p>
      <w:pPr>
        <w:pStyle w:val="Compact"/>
        <w:numPr>
          <w:ilvl w:val="0"/>
          <w:numId w:val="1007"/>
        </w:numPr>
      </w:pPr>
      <w:r>
        <w:t xml:space="preserve">Enterprise licensing</w:t>
      </w:r>
    </w:p>
    <w:p>
      <w:pPr>
        <w:pStyle w:val="Compact"/>
        <w:numPr>
          <w:ilvl w:val="0"/>
          <w:numId w:val="1007"/>
        </w:numPr>
      </w:pPr>
      <w:r>
        <w:t xml:space="preserve">Seat management</w:t>
      </w:r>
    </w:p>
    <w:p>
      <w:r>
        <w:pict>
          <v:rect style="width:0;height:1.5pt" o:hralign="center" o:hrstd="t" o:hr="t"/>
        </w:pict>
      </w:r>
    </w:p>
    <w:bookmarkEnd w:id="37"/>
    <w:bookmarkStart w:id="38" w:name="billing"/>
    <w:p>
      <w:pPr>
        <w:pStyle w:val="Heading2"/>
      </w:pPr>
      <w:r>
        <w:t xml:space="preserve">Billing</w:t>
      </w:r>
    </w:p>
    <w:p>
      <w:pPr>
        <w:pStyle w:val="Compact"/>
        <w:numPr>
          <w:ilvl w:val="0"/>
          <w:numId w:val="1008"/>
        </w:numPr>
      </w:pPr>
      <w:r>
        <w:t xml:space="preserve">Stripe</w:t>
      </w:r>
    </w:p>
    <w:p>
      <w:pPr>
        <w:pStyle w:val="Compact"/>
        <w:numPr>
          <w:ilvl w:val="0"/>
          <w:numId w:val="1008"/>
        </w:numPr>
      </w:pPr>
      <w:r>
        <w:t xml:space="preserve">Razorpay</w:t>
      </w:r>
    </w:p>
    <w:p>
      <w:pPr>
        <w:pStyle w:val="Compact"/>
        <w:numPr>
          <w:ilvl w:val="0"/>
          <w:numId w:val="1008"/>
        </w:numPr>
      </w:pPr>
      <w:r>
        <w:t xml:space="preserve">Invoicing</w:t>
      </w:r>
    </w:p>
    <w:p>
      <w:pPr>
        <w:pStyle w:val="Compact"/>
        <w:numPr>
          <w:ilvl w:val="0"/>
          <w:numId w:val="1008"/>
        </w:numPr>
      </w:pPr>
      <w:r>
        <w:t xml:space="preserve">Taxes</w:t>
      </w:r>
    </w:p>
    <w:p>
      <w:pPr>
        <w:pStyle w:val="Compact"/>
        <w:numPr>
          <w:ilvl w:val="0"/>
          <w:numId w:val="1008"/>
        </w:numPr>
      </w:pPr>
      <w:r>
        <w:t xml:space="preserve">Coupons</w:t>
      </w:r>
    </w:p>
    <w:p>
      <w:pPr>
        <w:pStyle w:val="Compact"/>
        <w:numPr>
          <w:ilvl w:val="0"/>
          <w:numId w:val="1008"/>
        </w:numPr>
      </w:pPr>
      <w:r>
        <w:t xml:space="preserve">Subscription lifecycle</w:t>
      </w:r>
    </w:p>
    <w:p>
      <w:pPr>
        <w:pStyle w:val="Compact"/>
        <w:numPr>
          <w:ilvl w:val="0"/>
          <w:numId w:val="1008"/>
        </w:numPr>
      </w:pPr>
      <w:r>
        <w:t xml:space="preserve">Upgrade / Downgrade</w:t>
      </w:r>
    </w:p>
    <w:p>
      <w:pPr>
        <w:pStyle w:val="Compact"/>
        <w:numPr>
          <w:ilvl w:val="0"/>
          <w:numId w:val="1008"/>
        </w:numPr>
      </w:pPr>
      <w:r>
        <w:t xml:space="preserve">Payment history</w:t>
      </w:r>
    </w:p>
    <w:p>
      <w:r>
        <w:pict>
          <v:rect style="width:0;height:1.5pt" o:hralign="center" o:hrstd="t" o:hr="t"/>
        </w:pict>
      </w:r>
    </w:p>
    <w:bookmarkEnd w:id="38"/>
    <w:bookmarkStart w:id="39" w:name="organization-management"/>
    <w:p>
      <w:pPr>
        <w:pStyle w:val="Heading2"/>
      </w:pPr>
      <w:r>
        <w:t xml:space="preserve">Organization Management</w:t>
      </w:r>
    </w:p>
    <w:p>
      <w:pPr>
        <w:pStyle w:val="Compact"/>
        <w:numPr>
          <w:ilvl w:val="0"/>
          <w:numId w:val="1009"/>
        </w:numPr>
      </w:pPr>
      <w:r>
        <w:t xml:space="preserve">Multi-entity support</w:t>
      </w:r>
    </w:p>
    <w:p>
      <w:pPr>
        <w:pStyle w:val="Compact"/>
        <w:numPr>
          <w:ilvl w:val="0"/>
          <w:numId w:val="1009"/>
        </w:numPr>
      </w:pPr>
      <w:r>
        <w:t xml:space="preserve">Departments</w:t>
      </w:r>
    </w:p>
    <w:p>
      <w:pPr>
        <w:pStyle w:val="Compact"/>
        <w:numPr>
          <w:ilvl w:val="0"/>
          <w:numId w:val="1009"/>
        </w:numPr>
      </w:pPr>
      <w:r>
        <w:t xml:space="preserve">Business units</w:t>
      </w:r>
    </w:p>
    <w:p>
      <w:pPr>
        <w:pStyle w:val="Compact"/>
        <w:numPr>
          <w:ilvl w:val="0"/>
          <w:numId w:val="1009"/>
        </w:numPr>
      </w:pPr>
      <w:r>
        <w:t xml:space="preserve">Teams</w:t>
      </w:r>
    </w:p>
    <w:p>
      <w:pPr>
        <w:pStyle w:val="Compact"/>
        <w:numPr>
          <w:ilvl w:val="0"/>
          <w:numId w:val="1009"/>
        </w:numPr>
      </w:pPr>
      <w:r>
        <w:t xml:space="preserve">RBAC</w:t>
      </w:r>
    </w:p>
    <w:p>
      <w:pPr>
        <w:pStyle w:val="Compact"/>
        <w:numPr>
          <w:ilvl w:val="0"/>
          <w:numId w:val="1009"/>
        </w:numPr>
      </w:pPr>
      <w:r>
        <w:t xml:space="preserve">Delegated administration</w:t>
      </w:r>
    </w:p>
    <w:p>
      <w:r>
        <w:pict>
          <v:rect style="width:0;height:1.5pt" o:hralign="center" o:hrstd="t" o:hr="t"/>
        </w:pict>
      </w:r>
    </w:p>
    <w:bookmarkEnd w:id="39"/>
    <w:bookmarkStart w:id="40" w:name="notifications"/>
    <w:p>
      <w:pPr>
        <w:pStyle w:val="Heading2"/>
      </w:pPr>
      <w:r>
        <w:t xml:space="preserve">Notifications</w:t>
      </w:r>
    </w:p>
    <w:p>
      <w:pPr>
        <w:pStyle w:val="Compact"/>
        <w:numPr>
          <w:ilvl w:val="0"/>
          <w:numId w:val="1010"/>
        </w:numPr>
      </w:pPr>
      <w:r>
        <w:t xml:space="preserve">Email</w:t>
      </w:r>
    </w:p>
    <w:p>
      <w:pPr>
        <w:pStyle w:val="Compact"/>
        <w:numPr>
          <w:ilvl w:val="0"/>
          <w:numId w:val="1010"/>
        </w:numPr>
      </w:pPr>
      <w:r>
        <w:t xml:space="preserve">Slack</w:t>
      </w:r>
    </w:p>
    <w:p>
      <w:pPr>
        <w:pStyle w:val="Compact"/>
        <w:numPr>
          <w:ilvl w:val="0"/>
          <w:numId w:val="1010"/>
        </w:numPr>
      </w:pPr>
      <w:r>
        <w:t xml:space="preserve">Microsoft Teams</w:t>
      </w:r>
    </w:p>
    <w:p>
      <w:pPr>
        <w:pStyle w:val="Compact"/>
        <w:numPr>
          <w:ilvl w:val="0"/>
          <w:numId w:val="1010"/>
        </w:numPr>
      </w:pPr>
      <w:r>
        <w:t xml:space="preserve">Webhooks</w:t>
      </w:r>
    </w:p>
    <w:p>
      <w:pPr>
        <w:pStyle w:val="Compact"/>
        <w:numPr>
          <w:ilvl w:val="0"/>
          <w:numId w:val="1010"/>
        </w:numPr>
      </w:pPr>
      <w:r>
        <w:t xml:space="preserve">Digest emails</w:t>
      </w:r>
    </w:p>
    <w:p>
      <w:pPr>
        <w:pStyle w:val="Compact"/>
        <w:numPr>
          <w:ilvl w:val="0"/>
          <w:numId w:val="1010"/>
        </w:numPr>
      </w:pPr>
      <w:r>
        <w:t xml:space="preserve">Escalations</w:t>
      </w:r>
    </w:p>
    <w:p>
      <w:pPr>
        <w:pStyle w:val="Compact"/>
        <w:numPr>
          <w:ilvl w:val="0"/>
          <w:numId w:val="1010"/>
        </w:numPr>
      </w:pPr>
      <w:r>
        <w:t xml:space="preserve">Reminder engine</w:t>
      </w:r>
    </w:p>
    <w:p>
      <w:r>
        <w:pict>
          <v:rect style="width:0;height:1.5pt" o:hralign="center" o:hrstd="t" o:hr="t"/>
        </w:pict>
      </w:r>
    </w:p>
    <w:bookmarkEnd w:id="40"/>
    <w:bookmarkStart w:id="41" w:name="integration-platform"/>
    <w:p>
      <w:pPr>
        <w:pStyle w:val="Heading2"/>
      </w:pPr>
      <w:r>
        <w:t xml:space="preserve">Integration Platform</w:t>
      </w:r>
    </w:p>
    <w:p>
      <w:pPr>
        <w:pStyle w:val="FirstParagraph"/>
      </w:pPr>
      <w:r>
        <w:t xml:space="preserve">Priority integrations:</w:t>
      </w:r>
    </w:p>
    <w:p>
      <w:pPr>
        <w:pStyle w:val="Compact"/>
        <w:numPr>
          <w:ilvl w:val="0"/>
          <w:numId w:val="1011"/>
        </w:numPr>
      </w:pPr>
      <w:r>
        <w:t xml:space="preserve">Microsoft 365</w:t>
      </w:r>
    </w:p>
    <w:p>
      <w:pPr>
        <w:pStyle w:val="Compact"/>
        <w:numPr>
          <w:ilvl w:val="0"/>
          <w:numId w:val="1011"/>
        </w:numPr>
      </w:pPr>
      <w:r>
        <w:t xml:space="preserve">Google Workspace</w:t>
      </w:r>
    </w:p>
    <w:p>
      <w:pPr>
        <w:pStyle w:val="Compact"/>
        <w:numPr>
          <w:ilvl w:val="0"/>
          <w:numId w:val="1011"/>
        </w:numPr>
      </w:pPr>
      <w:r>
        <w:t xml:space="preserve">Jira</w:t>
      </w:r>
    </w:p>
    <w:p>
      <w:pPr>
        <w:pStyle w:val="Compact"/>
        <w:numPr>
          <w:ilvl w:val="0"/>
          <w:numId w:val="1011"/>
        </w:numPr>
      </w:pPr>
      <w:r>
        <w:t xml:space="preserve">GitHub</w:t>
      </w:r>
    </w:p>
    <w:p>
      <w:pPr>
        <w:pStyle w:val="Compact"/>
        <w:numPr>
          <w:ilvl w:val="0"/>
          <w:numId w:val="1011"/>
        </w:numPr>
      </w:pPr>
      <w:r>
        <w:t xml:space="preserve">GitLab</w:t>
      </w:r>
    </w:p>
    <w:p>
      <w:pPr>
        <w:pStyle w:val="Compact"/>
        <w:numPr>
          <w:ilvl w:val="0"/>
          <w:numId w:val="1011"/>
        </w:numPr>
      </w:pPr>
      <w:r>
        <w:t xml:space="preserve">AWS</w:t>
      </w:r>
    </w:p>
    <w:p>
      <w:pPr>
        <w:pStyle w:val="Compact"/>
        <w:numPr>
          <w:ilvl w:val="0"/>
          <w:numId w:val="1011"/>
        </w:numPr>
      </w:pPr>
      <w:r>
        <w:t xml:space="preserve">Azure</w:t>
      </w:r>
    </w:p>
    <w:p>
      <w:pPr>
        <w:pStyle w:val="Compact"/>
        <w:numPr>
          <w:ilvl w:val="0"/>
          <w:numId w:val="1011"/>
        </w:numPr>
      </w:pPr>
      <w:r>
        <w:t xml:space="preserve">Google Cloud</w:t>
      </w:r>
    </w:p>
    <w:p>
      <w:pPr>
        <w:pStyle w:val="Compact"/>
        <w:numPr>
          <w:ilvl w:val="0"/>
          <w:numId w:val="1011"/>
        </w:numPr>
      </w:pPr>
      <w:r>
        <w:t xml:space="preserve">Slack</w:t>
      </w:r>
    </w:p>
    <w:p>
      <w:pPr>
        <w:pStyle w:val="Compact"/>
        <w:numPr>
          <w:ilvl w:val="0"/>
          <w:numId w:val="1011"/>
        </w:numPr>
      </w:pPr>
      <w:r>
        <w:t xml:space="preserve">Teams</w:t>
      </w:r>
    </w:p>
    <w:p>
      <w:pPr>
        <w:pStyle w:val="Compact"/>
        <w:numPr>
          <w:ilvl w:val="0"/>
          <w:numId w:val="1011"/>
        </w:numPr>
      </w:pPr>
      <w:r>
        <w:t xml:space="preserve">ServiceNow</w:t>
      </w:r>
    </w:p>
    <w:p>
      <w:pPr>
        <w:pStyle w:val="Compact"/>
        <w:numPr>
          <w:ilvl w:val="0"/>
          <w:numId w:val="1011"/>
        </w:numPr>
      </w:pPr>
      <w:r>
        <w:t xml:space="preserve">Okta</w:t>
      </w:r>
    </w:p>
    <w:p>
      <w:r>
        <w:pict>
          <v:rect style="width:0;height:1.5pt" o:hralign="center" o:hrstd="t" o:hr="t"/>
        </w:pict>
      </w:r>
    </w:p>
    <w:bookmarkEnd w:id="41"/>
    <w:bookmarkStart w:id="42" w:name="developer-platform"/>
    <w:p>
      <w:pPr>
        <w:pStyle w:val="Heading2"/>
      </w:pPr>
      <w:r>
        <w:t xml:space="preserve">Developer Platform</w:t>
      </w:r>
    </w:p>
    <w:p>
      <w:pPr>
        <w:pStyle w:val="Compact"/>
        <w:numPr>
          <w:ilvl w:val="0"/>
          <w:numId w:val="1012"/>
        </w:numPr>
      </w:pPr>
      <w:r>
        <w:t xml:space="preserve">Public REST APIs</w:t>
      </w:r>
    </w:p>
    <w:p>
      <w:pPr>
        <w:pStyle w:val="Compact"/>
        <w:numPr>
          <w:ilvl w:val="0"/>
          <w:numId w:val="1012"/>
        </w:numPr>
      </w:pPr>
      <w:r>
        <w:t xml:space="preserve">Webhooks</w:t>
      </w:r>
    </w:p>
    <w:p>
      <w:pPr>
        <w:pStyle w:val="Compact"/>
        <w:numPr>
          <w:ilvl w:val="0"/>
          <w:numId w:val="1012"/>
        </w:numPr>
      </w:pPr>
      <w:r>
        <w:t xml:space="preserve">API Keys</w:t>
      </w:r>
    </w:p>
    <w:p>
      <w:pPr>
        <w:pStyle w:val="Compact"/>
        <w:numPr>
          <w:ilvl w:val="0"/>
          <w:numId w:val="1012"/>
        </w:numPr>
      </w:pPr>
      <w:r>
        <w:t xml:space="preserve">SDKs</w:t>
      </w:r>
    </w:p>
    <w:p>
      <w:pPr>
        <w:pStyle w:val="Compact"/>
        <w:numPr>
          <w:ilvl w:val="0"/>
          <w:numId w:val="1012"/>
        </w:numPr>
      </w:pPr>
      <w:r>
        <w:t xml:space="preserve">API documentation</w:t>
      </w:r>
    </w:p>
    <w:p>
      <w:r>
        <w:pict>
          <v:rect style="width:0;height:1.5pt" o:hralign="center" o:hrstd="t" o:hr="t"/>
        </w:pict>
      </w:r>
    </w:p>
    <w:bookmarkEnd w:id="42"/>
    <w:bookmarkStart w:id="44" w:name="security-operations"/>
    <w:p>
      <w:pPr>
        <w:pStyle w:val="Heading2"/>
      </w:pPr>
      <w:r>
        <w:t xml:space="preserve">Security &amp; Operations</w:t>
      </w:r>
    </w:p>
    <w:p>
      <w:pPr>
        <w:pStyle w:val="Compact"/>
        <w:numPr>
          <w:ilvl w:val="0"/>
          <w:numId w:val="1013"/>
        </w:numPr>
      </w:pPr>
      <w:r>
        <w:t xml:space="preserve">Audit logs</w:t>
      </w:r>
    </w:p>
    <w:p>
      <w:pPr>
        <w:pStyle w:val="Compact"/>
        <w:numPr>
          <w:ilvl w:val="0"/>
          <w:numId w:val="1013"/>
        </w:numPr>
      </w:pPr>
      <w:r>
        <w:t xml:space="preserve">Backup &amp; Restore</w:t>
      </w:r>
    </w:p>
    <w:p>
      <w:pPr>
        <w:pStyle w:val="Compact"/>
        <w:numPr>
          <w:ilvl w:val="0"/>
          <w:numId w:val="1013"/>
        </w:numPr>
      </w:pPr>
      <w:r>
        <w:t xml:space="preserve">Disaster Recovery</w:t>
      </w:r>
    </w:p>
    <w:p>
      <w:pPr>
        <w:pStyle w:val="Compact"/>
        <w:numPr>
          <w:ilvl w:val="0"/>
          <w:numId w:val="1013"/>
        </w:numPr>
      </w:pPr>
      <w:r>
        <w:t xml:space="preserve">Monitoring</w:t>
      </w:r>
    </w:p>
    <w:p>
      <w:pPr>
        <w:pStyle w:val="Compact"/>
        <w:numPr>
          <w:ilvl w:val="0"/>
          <w:numId w:val="1013"/>
        </w:numPr>
      </w:pPr>
      <w:r>
        <w:t xml:space="preserve">Observability</w:t>
      </w:r>
    </w:p>
    <w:p>
      <w:pPr>
        <w:pStyle w:val="Compact"/>
        <w:numPr>
          <w:ilvl w:val="0"/>
          <w:numId w:val="1013"/>
        </w:numPr>
      </w:pPr>
      <w:r>
        <w:t xml:space="preserve">Performance tuning</w:t>
      </w:r>
    </w:p>
    <w:p>
      <w:pPr>
        <w:pStyle w:val="Compact"/>
        <w:numPr>
          <w:ilvl w:val="0"/>
          <w:numId w:val="1013"/>
        </w:numPr>
      </w:pPr>
      <w:r>
        <w:t xml:space="preserve">Rate limiting</w:t>
      </w:r>
    </w:p>
    <w:p>
      <w:pPr>
        <w:pStyle w:val="Compact"/>
        <w:numPr>
          <w:ilvl w:val="0"/>
          <w:numId w:val="1013"/>
        </w:numPr>
      </w:pPr>
      <w:r>
        <w:t xml:space="preserve">Encryption management</w:t>
      </w:r>
    </w:p>
    <w:p>
      <w:r>
        <w:pict>
          <v:rect style="width:0;height:1.5pt" o:hralign="center" o:hrstd="t" o:hr="t"/>
        </w:pict>
      </w:r>
    </w:p>
    <w:bookmarkStart w:id="43" w:name="success-criteria-1"/>
    <w:p>
      <w:pPr>
        <w:pStyle w:val="Heading3"/>
      </w:pPr>
      <w:r>
        <w:t xml:space="preserve">Success Criteria</w:t>
      </w:r>
    </w:p>
    <w:p>
      <w:pPr>
        <w:pStyle w:val="FirstParagraph"/>
      </w:pPr>
      <w:r>
        <w:t xml:space="preserve">AUDT is operationally ready for enterprise deployment.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track-c"/>
    <w:p>
      <w:pPr>
        <w:pStyle w:val="Heading1"/>
      </w:pPr>
      <w:r>
        <w:t xml:space="preserve">TRACK C</w:t>
      </w:r>
    </w:p>
    <w:bookmarkEnd w:id="46"/>
    <w:bookmarkStart w:id="56" w:name="commercial-readiness"/>
    <w:p>
      <w:pPr>
        <w:pStyle w:val="Heading1"/>
      </w:pPr>
      <w:r>
        <w:t xml:space="preserve">Commercial Readiness</w:t>
      </w:r>
    </w:p>
    <w:bookmarkStart w:id="47" w:name="goal-2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Prepare AUDT for successful customer acquisition and onboarding.</w:t>
      </w:r>
    </w:p>
    <w:p>
      <w:r>
        <w:pict>
          <v:rect style="width:0;height:1.5pt" o:hralign="center" o:hrstd="t" o:hr="t"/>
        </w:pict>
      </w:r>
    </w:p>
    <w:bookmarkEnd w:id="47"/>
    <w:bookmarkStart w:id="48" w:name="product-documentation"/>
    <w:p>
      <w:pPr>
        <w:pStyle w:val="Heading2"/>
      </w:pPr>
      <w:r>
        <w:t xml:space="preserve">Product Documentation</w:t>
      </w:r>
    </w:p>
    <w:p>
      <w:pPr>
        <w:pStyle w:val="FirstParagraph"/>
      </w:pPr>
      <w:r>
        <w:t xml:space="preserve">Complete documentation for:</w:t>
      </w:r>
    </w:p>
    <w:p>
      <w:pPr>
        <w:pStyle w:val="Compact"/>
        <w:numPr>
          <w:ilvl w:val="0"/>
          <w:numId w:val="1014"/>
        </w:numPr>
      </w:pPr>
      <w:r>
        <w:t xml:space="preserve">Every module</w:t>
      </w:r>
    </w:p>
    <w:p>
      <w:pPr>
        <w:pStyle w:val="Compact"/>
        <w:numPr>
          <w:ilvl w:val="0"/>
          <w:numId w:val="1014"/>
        </w:numPr>
      </w:pPr>
      <w:r>
        <w:t xml:space="preserve">Every workflow</w:t>
      </w:r>
    </w:p>
    <w:p>
      <w:pPr>
        <w:pStyle w:val="Compact"/>
        <w:numPr>
          <w:ilvl w:val="0"/>
          <w:numId w:val="1014"/>
        </w:numPr>
      </w:pPr>
      <w:r>
        <w:t xml:space="preserve">Reports</w:t>
      </w:r>
    </w:p>
    <w:p>
      <w:pPr>
        <w:pStyle w:val="Compact"/>
        <w:numPr>
          <w:ilvl w:val="0"/>
          <w:numId w:val="1014"/>
        </w:numPr>
      </w:pPr>
      <w:r>
        <w:t xml:space="preserve">AI capabilities</w:t>
      </w:r>
    </w:p>
    <w:p>
      <w:pPr>
        <w:pStyle w:val="Compact"/>
        <w:numPr>
          <w:ilvl w:val="0"/>
          <w:numId w:val="1014"/>
        </w:numPr>
      </w:pPr>
      <w:r>
        <w:t xml:space="preserve">Settings</w:t>
      </w:r>
    </w:p>
    <w:p>
      <w:pPr>
        <w:pStyle w:val="Compact"/>
        <w:numPr>
          <w:ilvl w:val="0"/>
          <w:numId w:val="1014"/>
        </w:numPr>
      </w:pPr>
      <w:r>
        <w:t xml:space="preserve">Administration</w:t>
      </w:r>
    </w:p>
    <w:p>
      <w:r>
        <w:pict>
          <v:rect style="width:0;height:1.5pt" o:hralign="center" o:hrstd="t" o:hr="t"/>
        </w:pict>
      </w:r>
    </w:p>
    <w:bookmarkEnd w:id="48"/>
    <w:bookmarkStart w:id="49" w:name="administrator-guide"/>
    <w:p>
      <w:pPr>
        <w:pStyle w:val="Heading2"/>
      </w:pPr>
      <w:r>
        <w:t xml:space="preserve">Administrator Guide</w:t>
      </w:r>
    </w:p>
    <w:p>
      <w:pPr>
        <w:pStyle w:val="FirstParagraph"/>
      </w:pPr>
      <w:r>
        <w:t xml:space="preserve">Cover:</w:t>
      </w:r>
    </w:p>
    <w:p>
      <w:pPr>
        <w:pStyle w:val="Compact"/>
        <w:numPr>
          <w:ilvl w:val="0"/>
          <w:numId w:val="1015"/>
        </w:numPr>
      </w:pPr>
      <w:r>
        <w:t xml:space="preserve">Initial setup</w:t>
      </w:r>
    </w:p>
    <w:p>
      <w:pPr>
        <w:pStyle w:val="Compact"/>
        <w:numPr>
          <w:ilvl w:val="0"/>
          <w:numId w:val="1015"/>
        </w:numPr>
      </w:pPr>
      <w:r>
        <w:t xml:space="preserve">User management</w:t>
      </w:r>
    </w:p>
    <w:p>
      <w:pPr>
        <w:pStyle w:val="Compact"/>
        <w:numPr>
          <w:ilvl w:val="0"/>
          <w:numId w:val="1015"/>
        </w:numPr>
      </w:pPr>
      <w:r>
        <w:t xml:space="preserve">Organization configuration</w:t>
      </w:r>
    </w:p>
    <w:p>
      <w:pPr>
        <w:pStyle w:val="Compact"/>
        <w:numPr>
          <w:ilvl w:val="0"/>
          <w:numId w:val="1015"/>
        </w:numPr>
      </w:pPr>
      <w:r>
        <w:t xml:space="preserve">SSO</w:t>
      </w:r>
    </w:p>
    <w:p>
      <w:pPr>
        <w:pStyle w:val="Compact"/>
        <w:numPr>
          <w:ilvl w:val="0"/>
          <w:numId w:val="1015"/>
        </w:numPr>
      </w:pPr>
      <w:r>
        <w:t xml:space="preserve">Integrations</w:t>
      </w:r>
    </w:p>
    <w:p>
      <w:pPr>
        <w:pStyle w:val="Compact"/>
        <w:numPr>
          <w:ilvl w:val="0"/>
          <w:numId w:val="1015"/>
        </w:numPr>
      </w:pPr>
      <w:r>
        <w:t xml:space="preserve">Licensing</w:t>
      </w:r>
    </w:p>
    <w:p>
      <w:pPr>
        <w:pStyle w:val="Compact"/>
        <w:numPr>
          <w:ilvl w:val="0"/>
          <w:numId w:val="1015"/>
        </w:numPr>
      </w:pPr>
      <w:r>
        <w:t xml:space="preserve">Security</w:t>
      </w:r>
    </w:p>
    <w:p>
      <w:r>
        <w:pict>
          <v:rect style="width:0;height:1.5pt" o:hralign="center" o:hrstd="t" o:hr="t"/>
        </w:pict>
      </w:r>
    </w:p>
    <w:bookmarkEnd w:id="49"/>
    <w:bookmarkStart w:id="50" w:name="end-user-guides"/>
    <w:p>
      <w:pPr>
        <w:pStyle w:val="Heading2"/>
      </w:pPr>
      <w:r>
        <w:t xml:space="preserve">End User Guides</w:t>
      </w:r>
    </w:p>
    <w:p>
      <w:pPr>
        <w:pStyle w:val="FirstParagraph"/>
      </w:pPr>
      <w:r>
        <w:t xml:space="preserve">Separate guides for:</w:t>
      </w:r>
    </w:p>
    <w:p>
      <w:pPr>
        <w:pStyle w:val="Compact"/>
        <w:numPr>
          <w:ilvl w:val="0"/>
          <w:numId w:val="1016"/>
        </w:numPr>
      </w:pPr>
      <w:r>
        <w:t xml:space="preserve">Procurement</w:t>
      </w:r>
    </w:p>
    <w:p>
      <w:pPr>
        <w:pStyle w:val="Compact"/>
        <w:numPr>
          <w:ilvl w:val="0"/>
          <w:numId w:val="1016"/>
        </w:numPr>
      </w:pPr>
      <w:r>
        <w:t xml:space="preserve">Security</w:t>
      </w:r>
    </w:p>
    <w:p>
      <w:pPr>
        <w:pStyle w:val="Compact"/>
        <w:numPr>
          <w:ilvl w:val="0"/>
          <w:numId w:val="1016"/>
        </w:numPr>
      </w:pPr>
      <w:r>
        <w:t xml:space="preserve">Compliance</w:t>
      </w:r>
    </w:p>
    <w:p>
      <w:pPr>
        <w:pStyle w:val="Compact"/>
        <w:numPr>
          <w:ilvl w:val="0"/>
          <w:numId w:val="1016"/>
        </w:numPr>
      </w:pPr>
      <w:r>
        <w:t xml:space="preserve">Risk</w:t>
      </w:r>
    </w:p>
    <w:p>
      <w:pPr>
        <w:pStyle w:val="Compact"/>
        <w:numPr>
          <w:ilvl w:val="0"/>
          <w:numId w:val="1016"/>
        </w:numPr>
      </w:pPr>
      <w:r>
        <w:t xml:space="preserve">Audit</w:t>
      </w:r>
    </w:p>
    <w:p>
      <w:pPr>
        <w:pStyle w:val="Compact"/>
        <w:numPr>
          <w:ilvl w:val="0"/>
          <w:numId w:val="1016"/>
        </w:numPr>
      </w:pPr>
      <w:r>
        <w:t xml:space="preserve">Executives</w:t>
      </w:r>
    </w:p>
    <w:p>
      <w:r>
        <w:pict>
          <v:rect style="width:0;height:1.5pt" o:hralign="center" o:hrstd="t" o:hr="t"/>
        </w:pict>
      </w:r>
    </w:p>
    <w:bookmarkEnd w:id="50"/>
    <w:bookmarkStart w:id="51" w:name="api-documentation"/>
    <w:p>
      <w:pPr>
        <w:pStyle w:val="Heading2"/>
      </w:pPr>
      <w:r>
        <w:t xml:space="preserve">API Documentation</w:t>
      </w:r>
    </w:p>
    <w:p>
      <w:pPr>
        <w:pStyle w:val="Compact"/>
        <w:numPr>
          <w:ilvl w:val="0"/>
          <w:numId w:val="1017"/>
        </w:numPr>
      </w:pPr>
      <w:r>
        <w:t xml:space="preserve">Authentication</w:t>
      </w:r>
    </w:p>
    <w:p>
      <w:pPr>
        <w:pStyle w:val="Compact"/>
        <w:numPr>
          <w:ilvl w:val="0"/>
          <w:numId w:val="1017"/>
        </w:numPr>
      </w:pPr>
      <w:r>
        <w:t xml:space="preserve">Endpoints</w:t>
      </w:r>
    </w:p>
    <w:p>
      <w:pPr>
        <w:pStyle w:val="Compact"/>
        <w:numPr>
          <w:ilvl w:val="0"/>
          <w:numId w:val="1017"/>
        </w:numPr>
      </w:pPr>
      <w:r>
        <w:t xml:space="preserve">SDK examples</w:t>
      </w:r>
    </w:p>
    <w:p>
      <w:pPr>
        <w:pStyle w:val="Compact"/>
        <w:numPr>
          <w:ilvl w:val="0"/>
          <w:numId w:val="1017"/>
        </w:numPr>
      </w:pPr>
      <w:r>
        <w:t xml:space="preserve">Webhooks</w:t>
      </w:r>
    </w:p>
    <w:p>
      <w:pPr>
        <w:pStyle w:val="Compact"/>
        <w:numPr>
          <w:ilvl w:val="0"/>
          <w:numId w:val="1017"/>
        </w:numPr>
      </w:pPr>
      <w:r>
        <w:t xml:space="preserve">Rate limits</w:t>
      </w:r>
    </w:p>
    <w:p>
      <w:r>
        <w:pict>
          <v:rect style="width:0;height:1.5pt" o:hralign="center" o:hrstd="t" o:hr="t"/>
        </w:pict>
      </w:r>
    </w:p>
    <w:bookmarkEnd w:id="51"/>
    <w:bookmarkStart w:id="52" w:name="trust-operations-methodology"/>
    <w:p>
      <w:pPr>
        <w:pStyle w:val="Heading2"/>
      </w:pPr>
      <w:r>
        <w:t xml:space="preserve">Trust Operations Methodology</w:t>
      </w:r>
    </w:p>
    <w:p>
      <w:pPr>
        <w:pStyle w:val="FirstParagraph"/>
      </w:pPr>
      <w:r>
        <w:t xml:space="preserve">Document the AUDT lifecycle:</w:t>
      </w:r>
    </w:p>
    <w:p>
      <w:pPr>
        <w:pStyle w:val="BodyText"/>
      </w:pPr>
      <w:r>
        <w:t xml:space="preserve">Discover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Inventory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Classify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Assess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Risk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Comply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Monitor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Remediate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Renew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Offboard</w:t>
      </w:r>
    </w:p>
    <w:p>
      <w:pPr>
        <w:pStyle w:val="BodyText"/>
      </w:pPr>
      <w:r>
        <w:t xml:space="preserve">This becomes a core educational asset and a differentiator in the market.</w:t>
      </w:r>
    </w:p>
    <w:p>
      <w:r>
        <w:pict>
          <v:rect style="width:0;height:1.5pt" o:hralign="center" o:hrstd="t" o:hr="t"/>
        </w:pict>
      </w:r>
    </w:p>
    <w:bookmarkEnd w:id="52"/>
    <w:bookmarkStart w:id="53" w:name="training-content"/>
    <w:p>
      <w:pPr>
        <w:pStyle w:val="Heading2"/>
      </w:pPr>
      <w:r>
        <w:t xml:space="preserve">Training Content</w:t>
      </w:r>
    </w:p>
    <w:p>
      <w:pPr>
        <w:pStyle w:val="Compact"/>
        <w:numPr>
          <w:ilvl w:val="0"/>
          <w:numId w:val="1018"/>
        </w:numPr>
      </w:pPr>
      <w:r>
        <w:t xml:space="preserve">Getting Started</w:t>
      </w:r>
    </w:p>
    <w:p>
      <w:pPr>
        <w:pStyle w:val="Compact"/>
        <w:numPr>
          <w:ilvl w:val="0"/>
          <w:numId w:val="1018"/>
        </w:numPr>
      </w:pPr>
      <w:r>
        <w:t xml:space="preserve">Product Academy</w:t>
      </w:r>
    </w:p>
    <w:p>
      <w:pPr>
        <w:pStyle w:val="Compact"/>
        <w:numPr>
          <w:ilvl w:val="0"/>
          <w:numId w:val="1018"/>
        </w:numPr>
      </w:pPr>
      <w:r>
        <w:t xml:space="preserve">Video tutorials</w:t>
      </w:r>
    </w:p>
    <w:p>
      <w:pPr>
        <w:pStyle w:val="Compact"/>
        <w:numPr>
          <w:ilvl w:val="0"/>
          <w:numId w:val="1018"/>
        </w:numPr>
      </w:pPr>
      <w:r>
        <w:t xml:space="preserve">Best practices</w:t>
      </w:r>
    </w:p>
    <w:p>
      <w:pPr>
        <w:pStyle w:val="Compact"/>
        <w:numPr>
          <w:ilvl w:val="0"/>
          <w:numId w:val="1018"/>
        </w:numPr>
      </w:pPr>
      <w:r>
        <w:t xml:space="preserve">Implementation guides</w:t>
      </w:r>
    </w:p>
    <w:p>
      <w:r>
        <w:pict>
          <v:rect style="width:0;height:1.5pt" o:hralign="center" o:hrstd="t" o:hr="t"/>
        </w:pict>
      </w:r>
    </w:p>
    <w:bookmarkEnd w:id="53"/>
    <w:bookmarkStart w:id="55" w:name="customer-success-assets"/>
    <w:p>
      <w:pPr>
        <w:pStyle w:val="Heading2"/>
      </w:pPr>
      <w:r>
        <w:t xml:space="preserve">Customer Success Assets</w:t>
      </w:r>
    </w:p>
    <w:p>
      <w:pPr>
        <w:pStyle w:val="Compact"/>
        <w:numPr>
          <w:ilvl w:val="0"/>
          <w:numId w:val="1019"/>
        </w:numPr>
      </w:pPr>
      <w:r>
        <w:t xml:space="preserve">Onboarding checklist</w:t>
      </w:r>
    </w:p>
    <w:p>
      <w:pPr>
        <w:pStyle w:val="Compact"/>
        <w:numPr>
          <w:ilvl w:val="0"/>
          <w:numId w:val="1019"/>
        </w:numPr>
      </w:pPr>
      <w:r>
        <w:t xml:space="preserve">Adoption guides</w:t>
      </w:r>
    </w:p>
    <w:p>
      <w:pPr>
        <w:pStyle w:val="Compact"/>
        <w:numPr>
          <w:ilvl w:val="0"/>
          <w:numId w:val="1019"/>
        </w:numPr>
      </w:pPr>
      <w:r>
        <w:t xml:space="preserve">Quarterly business review templates</w:t>
      </w:r>
    </w:p>
    <w:p>
      <w:pPr>
        <w:pStyle w:val="Compact"/>
        <w:numPr>
          <w:ilvl w:val="0"/>
          <w:numId w:val="1019"/>
        </w:numPr>
      </w:pPr>
      <w:r>
        <w:t xml:space="preserve">Health score playbooks</w:t>
      </w:r>
    </w:p>
    <w:p>
      <w:r>
        <w:pict>
          <v:rect style="width:0;height:1.5pt" o:hralign="center" o:hrstd="t" o:hr="t"/>
        </w:pict>
      </w:r>
    </w:p>
    <w:bookmarkStart w:id="54" w:name="success-criteria-2"/>
    <w:p>
      <w:pPr>
        <w:pStyle w:val="Heading3"/>
      </w:pPr>
      <w:r>
        <w:t xml:space="preserve">Success Criteria</w:t>
      </w:r>
    </w:p>
    <w:p>
      <w:pPr>
        <w:pStyle w:val="FirstParagraph"/>
      </w:pPr>
      <w:r>
        <w:t xml:space="preserve">Customers can successfully implement and use AUDT without relying heavily on engineering support.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7" w:name="track-d"/>
    <w:p>
      <w:pPr>
        <w:pStyle w:val="Heading1"/>
      </w:pPr>
      <w:r>
        <w:t xml:space="preserve">TRACK D</w:t>
      </w:r>
    </w:p>
    <w:bookmarkEnd w:id="57"/>
    <w:bookmarkStart w:id="67" w:name="go-to-market-execution"/>
    <w:p>
      <w:pPr>
        <w:pStyle w:val="Heading1"/>
      </w:pPr>
      <w:r>
        <w:t xml:space="preserve">Go-To-Market Execution</w:t>
      </w:r>
    </w:p>
    <w:bookmarkStart w:id="58" w:name="goal-3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Build the sales and marketing foundation required to acquire enterprise customers.</w:t>
      </w:r>
    </w:p>
    <w:p>
      <w:r>
        <w:pict>
          <v:rect style="width:0;height:1.5pt" o:hralign="center" o:hrstd="t" o:hr="t"/>
        </w:pict>
      </w:r>
    </w:p>
    <w:bookmarkEnd w:id="58"/>
    <w:bookmarkStart w:id="59" w:name="website"/>
    <w:p>
      <w:pPr>
        <w:pStyle w:val="Heading2"/>
      </w:pPr>
      <w:r>
        <w:t xml:space="preserve">Website</w:t>
      </w:r>
    </w:p>
    <w:p>
      <w:pPr>
        <w:pStyle w:val="FirstParagraph"/>
      </w:pPr>
      <w:r>
        <w:t xml:space="preserve">Continue improving:</w:t>
      </w:r>
    </w:p>
    <w:p>
      <w:pPr>
        <w:pStyle w:val="Compact"/>
        <w:numPr>
          <w:ilvl w:val="0"/>
          <w:numId w:val="1020"/>
        </w:numPr>
      </w:pPr>
      <w:r>
        <w:t xml:space="preserve">Homepage</w:t>
      </w:r>
    </w:p>
    <w:p>
      <w:pPr>
        <w:pStyle w:val="Compact"/>
        <w:numPr>
          <w:ilvl w:val="0"/>
          <w:numId w:val="1020"/>
        </w:numPr>
      </w:pPr>
      <w:r>
        <w:t xml:space="preserve">Platform pages</w:t>
      </w:r>
    </w:p>
    <w:p>
      <w:pPr>
        <w:pStyle w:val="Compact"/>
        <w:numPr>
          <w:ilvl w:val="0"/>
          <w:numId w:val="1020"/>
        </w:numPr>
      </w:pPr>
      <w:r>
        <w:t xml:space="preserve">Solution pages</w:t>
      </w:r>
    </w:p>
    <w:p>
      <w:pPr>
        <w:pStyle w:val="Compact"/>
        <w:numPr>
          <w:ilvl w:val="0"/>
          <w:numId w:val="1020"/>
        </w:numPr>
      </w:pPr>
      <w:r>
        <w:t xml:space="preserve">Industry pages</w:t>
      </w:r>
    </w:p>
    <w:p>
      <w:pPr>
        <w:pStyle w:val="Compact"/>
        <w:numPr>
          <w:ilvl w:val="0"/>
          <w:numId w:val="1020"/>
        </w:numPr>
      </w:pPr>
      <w:r>
        <w:t xml:space="preserve">Pricing</w:t>
      </w:r>
    </w:p>
    <w:p>
      <w:pPr>
        <w:pStyle w:val="Compact"/>
        <w:numPr>
          <w:ilvl w:val="0"/>
          <w:numId w:val="1020"/>
        </w:numPr>
      </w:pPr>
      <w:r>
        <w:t xml:space="preserve">Documentation</w:t>
      </w:r>
    </w:p>
    <w:p>
      <w:r>
        <w:pict>
          <v:rect style="width:0;height:1.5pt" o:hralign="center" o:hrstd="t" o:hr="t"/>
        </w:pict>
      </w:r>
    </w:p>
    <w:bookmarkEnd w:id="59"/>
    <w:bookmarkStart w:id="60" w:name="sales-enablement"/>
    <w:p>
      <w:pPr>
        <w:pStyle w:val="Heading2"/>
      </w:pPr>
      <w:r>
        <w:t xml:space="preserve">Sales Enablement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21"/>
        </w:numPr>
      </w:pPr>
      <w:r>
        <w:t xml:space="preserve">Sales deck</w:t>
      </w:r>
    </w:p>
    <w:p>
      <w:pPr>
        <w:pStyle w:val="Compact"/>
        <w:numPr>
          <w:ilvl w:val="0"/>
          <w:numId w:val="1021"/>
        </w:numPr>
      </w:pPr>
      <w:r>
        <w:t xml:space="preserve">Executive presentation</w:t>
      </w:r>
    </w:p>
    <w:p>
      <w:pPr>
        <w:pStyle w:val="Compact"/>
        <w:numPr>
          <w:ilvl w:val="0"/>
          <w:numId w:val="1021"/>
        </w:numPr>
      </w:pPr>
      <w:r>
        <w:t xml:space="preserve">Product overview</w:t>
      </w:r>
    </w:p>
    <w:p>
      <w:pPr>
        <w:pStyle w:val="Compact"/>
        <w:numPr>
          <w:ilvl w:val="0"/>
          <w:numId w:val="1021"/>
        </w:numPr>
      </w:pPr>
      <w:r>
        <w:t xml:space="preserve">Demo scripts</w:t>
      </w:r>
    </w:p>
    <w:p>
      <w:pPr>
        <w:pStyle w:val="Compact"/>
        <w:numPr>
          <w:ilvl w:val="0"/>
          <w:numId w:val="1021"/>
        </w:numPr>
      </w:pPr>
      <w:r>
        <w:t xml:space="preserve">Discovery questionnaire</w:t>
      </w:r>
    </w:p>
    <w:p>
      <w:pPr>
        <w:pStyle w:val="Compact"/>
        <w:numPr>
          <w:ilvl w:val="0"/>
          <w:numId w:val="1021"/>
        </w:numPr>
      </w:pPr>
      <w:r>
        <w:t xml:space="preserve">ROI calculator</w:t>
      </w:r>
    </w:p>
    <w:p>
      <w:r>
        <w:pict>
          <v:rect style="width:0;height:1.5pt" o:hralign="center" o:hrstd="t" o:hr="t"/>
        </w:pict>
      </w:r>
    </w:p>
    <w:bookmarkEnd w:id="60"/>
    <w:bookmarkStart w:id="61" w:name="demo-environment"/>
    <w:p>
      <w:pPr>
        <w:pStyle w:val="Heading2"/>
      </w:pPr>
      <w:r>
        <w:t xml:space="preserve">Demo Environment</w:t>
      </w:r>
    </w:p>
    <w:p>
      <w:pPr>
        <w:pStyle w:val="FirstParagraph"/>
      </w:pPr>
      <w:r>
        <w:t xml:space="preserve">Maintain a fully populated demo tenant with:</w:t>
      </w:r>
    </w:p>
    <w:p>
      <w:pPr>
        <w:pStyle w:val="Compact"/>
        <w:numPr>
          <w:ilvl w:val="0"/>
          <w:numId w:val="1022"/>
        </w:numPr>
      </w:pPr>
      <w:r>
        <w:t xml:space="preserve">Vendors</w:t>
      </w:r>
    </w:p>
    <w:p>
      <w:pPr>
        <w:pStyle w:val="Compact"/>
        <w:numPr>
          <w:ilvl w:val="0"/>
          <w:numId w:val="1022"/>
        </w:numPr>
      </w:pPr>
      <w:r>
        <w:t xml:space="preserve">Assets</w:t>
      </w:r>
    </w:p>
    <w:p>
      <w:pPr>
        <w:pStyle w:val="Compact"/>
        <w:numPr>
          <w:ilvl w:val="0"/>
          <w:numId w:val="1022"/>
        </w:numPr>
      </w:pPr>
      <w:r>
        <w:t xml:space="preserve">Contracts</w:t>
      </w:r>
    </w:p>
    <w:p>
      <w:pPr>
        <w:pStyle w:val="Compact"/>
        <w:numPr>
          <w:ilvl w:val="0"/>
          <w:numId w:val="1022"/>
        </w:numPr>
      </w:pPr>
      <w:r>
        <w:t xml:space="preserve">Risks</w:t>
      </w:r>
    </w:p>
    <w:p>
      <w:pPr>
        <w:pStyle w:val="Compact"/>
        <w:numPr>
          <w:ilvl w:val="0"/>
          <w:numId w:val="1022"/>
        </w:numPr>
      </w:pPr>
      <w:r>
        <w:t xml:space="preserve">Controls</w:t>
      </w:r>
    </w:p>
    <w:p>
      <w:pPr>
        <w:pStyle w:val="Compact"/>
        <w:numPr>
          <w:ilvl w:val="0"/>
          <w:numId w:val="1022"/>
        </w:numPr>
      </w:pPr>
      <w:r>
        <w:t xml:space="preserve">Evidence</w:t>
      </w:r>
    </w:p>
    <w:p>
      <w:pPr>
        <w:pStyle w:val="Compact"/>
        <w:numPr>
          <w:ilvl w:val="0"/>
          <w:numId w:val="1022"/>
        </w:numPr>
      </w:pPr>
      <w:r>
        <w:t xml:space="preserve">Policies</w:t>
      </w:r>
    </w:p>
    <w:p>
      <w:pPr>
        <w:pStyle w:val="Compact"/>
        <w:numPr>
          <w:ilvl w:val="0"/>
          <w:numId w:val="1022"/>
        </w:numPr>
      </w:pPr>
      <w:r>
        <w:t xml:space="preserve">Audits</w:t>
      </w:r>
    </w:p>
    <w:p>
      <w:pPr>
        <w:pStyle w:val="Compact"/>
        <w:numPr>
          <w:ilvl w:val="0"/>
          <w:numId w:val="1022"/>
        </w:numPr>
      </w:pPr>
      <w:r>
        <w:t xml:space="preserve">Findings</w:t>
      </w:r>
    </w:p>
    <w:p>
      <w:pPr>
        <w:pStyle w:val="Compact"/>
        <w:numPr>
          <w:ilvl w:val="0"/>
          <w:numId w:val="1022"/>
        </w:numPr>
      </w:pPr>
      <w:r>
        <w:t xml:space="preserve">AI recommendations</w:t>
      </w:r>
    </w:p>
    <w:p>
      <w:r>
        <w:pict>
          <v:rect style="width:0;height:1.5pt" o:hralign="center" o:hrstd="t" o:hr="t"/>
        </w:pict>
      </w:r>
    </w:p>
    <w:bookmarkEnd w:id="61"/>
    <w:bookmarkStart w:id="62" w:name="competitive-positioning"/>
    <w:p>
      <w:pPr>
        <w:pStyle w:val="Heading2"/>
      </w:pPr>
      <w:r>
        <w:t xml:space="preserve">Competitive Positioning</w:t>
      </w:r>
    </w:p>
    <w:p>
      <w:pPr>
        <w:pStyle w:val="FirstParagraph"/>
      </w:pPr>
      <w:r>
        <w:t xml:space="preserve">Develop battle cards for:</w:t>
      </w:r>
    </w:p>
    <w:p>
      <w:pPr>
        <w:pStyle w:val="Compact"/>
        <w:numPr>
          <w:ilvl w:val="0"/>
          <w:numId w:val="1023"/>
        </w:numPr>
      </w:pPr>
      <w:r>
        <w:t xml:space="preserve">Vanta</w:t>
      </w:r>
    </w:p>
    <w:p>
      <w:pPr>
        <w:pStyle w:val="Compact"/>
        <w:numPr>
          <w:ilvl w:val="0"/>
          <w:numId w:val="1023"/>
        </w:numPr>
      </w:pPr>
      <w:r>
        <w:t xml:space="preserve">Drata</w:t>
      </w:r>
    </w:p>
    <w:p>
      <w:pPr>
        <w:pStyle w:val="Compact"/>
        <w:numPr>
          <w:ilvl w:val="0"/>
          <w:numId w:val="1023"/>
        </w:numPr>
      </w:pPr>
      <w:r>
        <w:t xml:space="preserve">Sprinto</w:t>
      </w:r>
    </w:p>
    <w:p>
      <w:pPr>
        <w:pStyle w:val="Compact"/>
        <w:numPr>
          <w:ilvl w:val="0"/>
          <w:numId w:val="1023"/>
        </w:numPr>
      </w:pPr>
      <w:r>
        <w:t xml:space="preserve">Archer</w:t>
      </w:r>
    </w:p>
    <w:p>
      <w:pPr>
        <w:pStyle w:val="Compact"/>
        <w:numPr>
          <w:ilvl w:val="0"/>
          <w:numId w:val="1023"/>
        </w:numPr>
      </w:pPr>
      <w:r>
        <w:t xml:space="preserve">AuditBoard</w:t>
      </w:r>
    </w:p>
    <w:p>
      <w:pPr>
        <w:pStyle w:val="Compact"/>
        <w:numPr>
          <w:ilvl w:val="0"/>
          <w:numId w:val="1023"/>
        </w:numPr>
      </w:pPr>
      <w:r>
        <w:t xml:space="preserve">MetricStream</w:t>
      </w:r>
    </w:p>
    <w:p>
      <w:pPr>
        <w:pStyle w:val="Compact"/>
        <w:numPr>
          <w:ilvl w:val="0"/>
          <w:numId w:val="1023"/>
        </w:numPr>
      </w:pPr>
      <w:r>
        <w:t xml:space="preserve">OneTrust</w:t>
      </w:r>
    </w:p>
    <w:p>
      <w:pPr>
        <w:pStyle w:val="Compact"/>
        <w:numPr>
          <w:ilvl w:val="0"/>
          <w:numId w:val="1023"/>
        </w:numPr>
      </w:pPr>
      <w:r>
        <w:t xml:space="preserve">UpGuard</w:t>
      </w:r>
    </w:p>
    <w:p>
      <w:pPr>
        <w:pStyle w:val="Compact"/>
        <w:numPr>
          <w:ilvl w:val="0"/>
          <w:numId w:val="1023"/>
        </w:numPr>
      </w:pPr>
      <w:r>
        <w:t xml:space="preserve">Prevalent</w:t>
      </w:r>
    </w:p>
    <w:p>
      <w:r>
        <w:pict>
          <v:rect style="width:0;height:1.5pt" o:hralign="center" o:hrstd="t" o:hr="t"/>
        </w:pict>
      </w:r>
    </w:p>
    <w:bookmarkEnd w:id="62"/>
    <w:bookmarkStart w:id="63" w:name="security-trust-center"/>
    <w:p>
      <w:pPr>
        <w:pStyle w:val="Heading2"/>
      </w:pPr>
      <w:r>
        <w:t xml:space="preserve">Security &amp; Trust Center</w:t>
      </w:r>
    </w:p>
    <w:p>
      <w:pPr>
        <w:pStyle w:val="FirstParagraph"/>
      </w:pPr>
      <w:r>
        <w:t xml:space="preserve">Publish:</w:t>
      </w:r>
    </w:p>
    <w:p>
      <w:pPr>
        <w:pStyle w:val="Compact"/>
        <w:numPr>
          <w:ilvl w:val="0"/>
          <w:numId w:val="1024"/>
        </w:numPr>
      </w:pPr>
      <w:r>
        <w:t xml:space="preserve">Security architecture</w:t>
      </w:r>
    </w:p>
    <w:p>
      <w:pPr>
        <w:pStyle w:val="Compact"/>
        <w:numPr>
          <w:ilvl w:val="0"/>
          <w:numId w:val="1024"/>
        </w:numPr>
      </w:pPr>
      <w:r>
        <w:t xml:space="preserve">Data residency</w:t>
      </w:r>
    </w:p>
    <w:p>
      <w:pPr>
        <w:pStyle w:val="Compact"/>
        <w:numPr>
          <w:ilvl w:val="0"/>
          <w:numId w:val="1024"/>
        </w:numPr>
      </w:pPr>
      <w:r>
        <w:t xml:space="preserve">Encryption</w:t>
      </w:r>
    </w:p>
    <w:p>
      <w:pPr>
        <w:pStyle w:val="Compact"/>
        <w:numPr>
          <w:ilvl w:val="0"/>
          <w:numId w:val="1024"/>
        </w:numPr>
      </w:pPr>
      <w:r>
        <w:t xml:space="preserve">Compliance</w:t>
      </w:r>
    </w:p>
    <w:p>
      <w:pPr>
        <w:pStyle w:val="Compact"/>
        <w:numPr>
          <w:ilvl w:val="0"/>
          <w:numId w:val="1024"/>
        </w:numPr>
      </w:pPr>
      <w:r>
        <w:t xml:space="preserve">Certifications</w:t>
      </w:r>
    </w:p>
    <w:p>
      <w:pPr>
        <w:pStyle w:val="Compact"/>
        <w:numPr>
          <w:ilvl w:val="0"/>
          <w:numId w:val="1024"/>
        </w:numPr>
      </w:pPr>
      <w:r>
        <w:t xml:space="preserve">Privacy</w:t>
      </w:r>
    </w:p>
    <w:p>
      <w:r>
        <w:pict>
          <v:rect style="width:0;height:1.5pt" o:hralign="center" o:hrstd="t" o:hr="t"/>
        </w:pict>
      </w:r>
    </w:p>
    <w:bookmarkEnd w:id="63"/>
    <w:bookmarkStart w:id="64" w:name="marketing"/>
    <w:p>
      <w:pPr>
        <w:pStyle w:val="Heading2"/>
      </w:pPr>
      <w:r>
        <w:t xml:space="preserve">Marketing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25"/>
        </w:numPr>
      </w:pPr>
      <w:r>
        <w:t xml:space="preserve">Blog</w:t>
      </w:r>
    </w:p>
    <w:p>
      <w:pPr>
        <w:pStyle w:val="Compact"/>
        <w:numPr>
          <w:ilvl w:val="0"/>
          <w:numId w:val="1025"/>
        </w:numPr>
      </w:pPr>
      <w:r>
        <w:t xml:space="preserve">LinkedIn strategy</w:t>
      </w:r>
    </w:p>
    <w:p>
      <w:pPr>
        <w:pStyle w:val="Compact"/>
        <w:numPr>
          <w:ilvl w:val="0"/>
          <w:numId w:val="1025"/>
        </w:numPr>
      </w:pPr>
      <w:r>
        <w:t xml:space="preserve">Product videos</w:t>
      </w:r>
    </w:p>
    <w:p>
      <w:pPr>
        <w:pStyle w:val="Compact"/>
        <w:numPr>
          <w:ilvl w:val="0"/>
          <w:numId w:val="1025"/>
        </w:numPr>
      </w:pPr>
      <w:r>
        <w:t xml:space="preserve">Case studies</w:t>
      </w:r>
    </w:p>
    <w:p>
      <w:pPr>
        <w:pStyle w:val="Compact"/>
        <w:numPr>
          <w:ilvl w:val="0"/>
          <w:numId w:val="1025"/>
        </w:numPr>
      </w:pPr>
      <w:r>
        <w:t xml:space="preserve">Customer stories</w:t>
      </w:r>
    </w:p>
    <w:p>
      <w:pPr>
        <w:pStyle w:val="Compact"/>
        <w:numPr>
          <w:ilvl w:val="0"/>
          <w:numId w:val="1025"/>
        </w:numPr>
      </w:pPr>
      <w:r>
        <w:t xml:space="preserve">Whitepapers</w:t>
      </w:r>
    </w:p>
    <w:p>
      <w:pPr>
        <w:pStyle w:val="Compact"/>
        <w:numPr>
          <w:ilvl w:val="0"/>
          <w:numId w:val="1025"/>
        </w:numPr>
      </w:pPr>
      <w:r>
        <w:t xml:space="preserve">Trust Operations Guide</w:t>
      </w:r>
    </w:p>
    <w:p>
      <w:r>
        <w:pict>
          <v:rect style="width:0;height:1.5pt" o:hralign="center" o:hrstd="t" o:hr="t"/>
        </w:pict>
      </w:r>
    </w:p>
    <w:bookmarkEnd w:id="64"/>
    <w:bookmarkStart w:id="66" w:name="sales-process"/>
    <w:p>
      <w:pPr>
        <w:pStyle w:val="Heading2"/>
      </w:pPr>
      <w:r>
        <w:t xml:space="preserve">Sales Process</w:t>
      </w:r>
    </w:p>
    <w:p>
      <w:pPr>
        <w:pStyle w:val="FirstParagraph"/>
      </w:pPr>
      <w:r>
        <w:t xml:space="preserve">Define:</w:t>
      </w:r>
    </w:p>
    <w:p>
      <w:pPr>
        <w:pStyle w:val="Compact"/>
        <w:numPr>
          <w:ilvl w:val="0"/>
          <w:numId w:val="1026"/>
        </w:numPr>
      </w:pPr>
      <w:r>
        <w:t xml:space="preserve">Lead qualification</w:t>
      </w:r>
    </w:p>
    <w:p>
      <w:pPr>
        <w:pStyle w:val="Compact"/>
        <w:numPr>
          <w:ilvl w:val="0"/>
          <w:numId w:val="1026"/>
        </w:numPr>
      </w:pPr>
      <w:r>
        <w:t xml:space="preserve">Demo flow</w:t>
      </w:r>
    </w:p>
    <w:p>
      <w:pPr>
        <w:pStyle w:val="Compact"/>
        <w:numPr>
          <w:ilvl w:val="0"/>
          <w:numId w:val="1026"/>
        </w:numPr>
      </w:pPr>
      <w:r>
        <w:t xml:space="preserve">POC process</w:t>
      </w:r>
    </w:p>
    <w:p>
      <w:pPr>
        <w:pStyle w:val="Compact"/>
        <w:numPr>
          <w:ilvl w:val="0"/>
          <w:numId w:val="1026"/>
        </w:numPr>
      </w:pPr>
      <w:r>
        <w:t xml:space="preserve">Proposal templates</w:t>
      </w:r>
    </w:p>
    <w:p>
      <w:pPr>
        <w:pStyle w:val="Compact"/>
        <w:numPr>
          <w:ilvl w:val="0"/>
          <w:numId w:val="1026"/>
        </w:numPr>
      </w:pPr>
      <w:r>
        <w:t xml:space="preserve">Customer onboarding</w:t>
      </w:r>
    </w:p>
    <w:p>
      <w:pPr>
        <w:pStyle w:val="Compact"/>
        <w:numPr>
          <w:ilvl w:val="0"/>
          <w:numId w:val="1026"/>
        </w:numPr>
      </w:pPr>
      <w:r>
        <w:t xml:space="preserve">Success metrics</w:t>
      </w:r>
    </w:p>
    <w:p>
      <w:r>
        <w:pict>
          <v:rect style="width:0;height:1.5pt" o:hralign="center" o:hrstd="t" o:hr="t"/>
        </w:pict>
      </w:r>
    </w:p>
    <w:bookmarkStart w:id="65" w:name="success-criteria-3"/>
    <w:p>
      <w:pPr>
        <w:pStyle w:val="Heading3"/>
      </w:pPr>
      <w:r>
        <w:t xml:space="preserve">Success Criteria</w:t>
      </w:r>
    </w:p>
    <w:p>
      <w:pPr>
        <w:pStyle w:val="FirstParagraph"/>
      </w:pPr>
      <w:r>
        <w:t xml:space="preserve">AUDT has a repeatable sales and onboarding process capable of supporting enterprise growth.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2" w:name="execution-priority"/>
    <w:p>
      <w:pPr>
        <w:pStyle w:val="Heading1"/>
      </w:pPr>
      <w:r>
        <w:t xml:space="preserve">Execution Priority</w:t>
      </w:r>
    </w:p>
    <w:bookmarkStart w:id="68" w:name="phase-2.1-immediate"/>
    <w:p>
      <w:pPr>
        <w:pStyle w:val="Heading2"/>
      </w:pPr>
      <w:r>
        <w:t xml:space="preserve">Phase 2.1 (Immediate)</w:t>
      </w:r>
    </w:p>
    <w:p>
      <w:pPr>
        <w:pStyle w:val="FirstParagraph"/>
      </w:pPr>
      <w:r>
        <w:t xml:space="preserve">Priority 1</w:t>
      </w:r>
    </w:p>
    <w:p>
      <w:pPr>
        <w:pStyle w:val="Compact"/>
        <w:numPr>
          <w:ilvl w:val="0"/>
          <w:numId w:val="1027"/>
        </w:numPr>
      </w:pPr>
      <w:r>
        <w:t xml:space="preserve">Complete Product Excellence</w:t>
      </w:r>
    </w:p>
    <w:p>
      <w:pPr>
        <w:pStyle w:val="Compact"/>
        <w:numPr>
          <w:ilvl w:val="0"/>
          <w:numId w:val="1027"/>
        </w:numPr>
      </w:pPr>
      <w:r>
        <w:t xml:space="preserve">Complete Platform Readiness</w:t>
      </w:r>
    </w:p>
    <w:p>
      <w:r>
        <w:pict>
          <v:rect style="width:0;height:1.5pt" o:hralign="center" o:hrstd="t" o:hr="t"/>
        </w:pict>
      </w:r>
    </w:p>
    <w:bookmarkEnd w:id="68"/>
    <w:bookmarkStart w:id="69" w:name="phase-2.2"/>
    <w:p>
      <w:pPr>
        <w:pStyle w:val="Heading2"/>
      </w:pPr>
      <w:r>
        <w:t xml:space="preserve">Phase 2.2</w:t>
      </w:r>
    </w:p>
    <w:p>
      <w:pPr>
        <w:pStyle w:val="FirstParagraph"/>
      </w:pPr>
      <w:r>
        <w:t xml:space="preserve">Priority 2</w:t>
      </w:r>
    </w:p>
    <w:p>
      <w:pPr>
        <w:pStyle w:val="Compact"/>
        <w:numPr>
          <w:ilvl w:val="0"/>
          <w:numId w:val="1028"/>
        </w:numPr>
      </w:pPr>
      <w:r>
        <w:t xml:space="preserve">Complete Commercial Readiness</w:t>
      </w:r>
    </w:p>
    <w:p>
      <w:pPr>
        <w:pStyle w:val="Compact"/>
        <w:numPr>
          <w:ilvl w:val="0"/>
          <w:numId w:val="1028"/>
        </w:numPr>
      </w:pPr>
      <w:r>
        <w:t xml:space="preserve">Finalize Documentation</w:t>
      </w:r>
    </w:p>
    <w:p>
      <w:pPr>
        <w:pStyle w:val="Compact"/>
        <w:numPr>
          <w:ilvl w:val="0"/>
          <w:numId w:val="1028"/>
        </w:numPr>
      </w:pPr>
      <w:r>
        <w:t xml:space="preserve">Launch GTM assets</w:t>
      </w:r>
    </w:p>
    <w:p>
      <w:r>
        <w:pict>
          <v:rect style="width:0;height:1.5pt" o:hralign="center" o:hrstd="t" o:hr="t"/>
        </w:pict>
      </w:r>
    </w:p>
    <w:bookmarkEnd w:id="69"/>
    <w:bookmarkStart w:id="70" w:name="phase-2.3"/>
    <w:p>
      <w:pPr>
        <w:pStyle w:val="Heading2"/>
      </w:pPr>
      <w:r>
        <w:t xml:space="preserve">Phase 2.3</w:t>
      </w:r>
    </w:p>
    <w:p>
      <w:pPr>
        <w:pStyle w:val="FirstParagraph"/>
      </w:pPr>
      <w:r>
        <w:t xml:space="preserve">Priority 3</w:t>
      </w:r>
    </w:p>
    <w:p>
      <w:pPr>
        <w:pStyle w:val="BodyText"/>
      </w:pPr>
      <w:r>
        <w:t xml:space="preserve">Acquire first enterprise customers.</w:t>
      </w:r>
    </w:p>
    <w:p>
      <w:pPr>
        <w:pStyle w:val="BodyText"/>
      </w:pPr>
      <w:r>
        <w:t xml:space="preserve">Validate roadmap with customer feedback.</w:t>
      </w:r>
    </w:p>
    <w:p>
      <w:r>
        <w:pict>
          <v:rect style="width:0;height:1.5pt" o:hralign="center" o:hrstd="t" o:hr="t"/>
        </w:pict>
      </w:r>
    </w:p>
    <w:bookmarkEnd w:id="70"/>
    <w:bookmarkStart w:id="71" w:name="phase-2.4"/>
    <w:p>
      <w:pPr>
        <w:pStyle w:val="Heading2"/>
      </w:pPr>
      <w:r>
        <w:t xml:space="preserve">Phase 2.4</w:t>
      </w:r>
    </w:p>
    <w:p>
      <w:pPr>
        <w:pStyle w:val="FirstParagraph"/>
      </w:pPr>
      <w:r>
        <w:t xml:space="preserve">Priority 4</w:t>
      </w:r>
    </w:p>
    <w:p>
      <w:pPr>
        <w:pStyle w:val="BodyText"/>
      </w:pPr>
      <w:r>
        <w:t xml:space="preserve">Build customer-driven enhancements instead of founder-driven features.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success-metrics"/>
    <w:p>
      <w:pPr>
        <w:pStyle w:val="Heading1"/>
      </w:pPr>
      <w:r>
        <w:t xml:space="preserve">Success Metrics</w:t>
      </w:r>
    </w:p>
    <w:bookmarkStart w:id="73" w:name="product"/>
    <w:p>
      <w:pPr>
        <w:pStyle w:val="Heading2"/>
      </w:pPr>
      <w:r>
        <w:t xml:space="preserve">Product</w:t>
      </w:r>
    </w:p>
    <w:p>
      <w:pPr>
        <w:pStyle w:val="Compact"/>
        <w:numPr>
          <w:ilvl w:val="0"/>
          <w:numId w:val="1029"/>
        </w:numPr>
      </w:pPr>
      <w:r>
        <w:t xml:space="preserve">All core modules rated enterprise-ready</w:t>
      </w:r>
    </w:p>
    <w:p>
      <w:pPr>
        <w:pStyle w:val="Compact"/>
        <w:numPr>
          <w:ilvl w:val="0"/>
          <w:numId w:val="1029"/>
        </w:numPr>
      </w:pPr>
      <w:r>
        <w:t xml:space="preserve">Unified user experience</w:t>
      </w:r>
    </w:p>
    <w:p>
      <w:pPr>
        <w:pStyle w:val="Compact"/>
        <w:numPr>
          <w:ilvl w:val="0"/>
          <w:numId w:val="1029"/>
        </w:numPr>
      </w:pPr>
      <w:r>
        <w:t xml:space="preserve">Complete cross-module integration</w:t>
      </w:r>
    </w:p>
    <w:p>
      <w:r>
        <w:pict>
          <v:rect style="width:0;height:1.5pt" o:hralign="center" o:hrstd="t" o:hr="t"/>
        </w:pict>
      </w:r>
    </w:p>
    <w:bookmarkEnd w:id="73"/>
    <w:bookmarkStart w:id="74" w:name="platform"/>
    <w:p>
      <w:pPr>
        <w:pStyle w:val="Heading2"/>
      </w:pPr>
      <w:r>
        <w:t xml:space="preserve">Platform</w:t>
      </w:r>
    </w:p>
    <w:p>
      <w:pPr>
        <w:pStyle w:val="Compact"/>
        <w:numPr>
          <w:ilvl w:val="0"/>
          <w:numId w:val="1030"/>
        </w:numPr>
      </w:pPr>
      <w:r>
        <w:t xml:space="preserve">Enterprise identity</w:t>
      </w:r>
    </w:p>
    <w:p>
      <w:pPr>
        <w:pStyle w:val="Compact"/>
        <w:numPr>
          <w:ilvl w:val="0"/>
          <w:numId w:val="1030"/>
        </w:numPr>
      </w:pPr>
      <w:r>
        <w:t xml:space="preserve">Billing</w:t>
      </w:r>
    </w:p>
    <w:p>
      <w:pPr>
        <w:pStyle w:val="Compact"/>
        <w:numPr>
          <w:ilvl w:val="0"/>
          <w:numId w:val="1030"/>
        </w:numPr>
      </w:pPr>
      <w:r>
        <w:t xml:space="preserve">Licensing</w:t>
      </w:r>
    </w:p>
    <w:p>
      <w:pPr>
        <w:pStyle w:val="Compact"/>
        <w:numPr>
          <w:ilvl w:val="0"/>
          <w:numId w:val="1030"/>
        </w:numPr>
      </w:pPr>
      <w:r>
        <w:t xml:space="preserve">Integrations</w:t>
      </w:r>
    </w:p>
    <w:p>
      <w:pPr>
        <w:pStyle w:val="Compact"/>
        <w:numPr>
          <w:ilvl w:val="0"/>
          <w:numId w:val="1030"/>
        </w:numPr>
      </w:pPr>
      <w:r>
        <w:t xml:space="preserve">APIs</w:t>
      </w:r>
    </w:p>
    <w:p>
      <w:pPr>
        <w:pStyle w:val="Compact"/>
        <w:numPr>
          <w:ilvl w:val="0"/>
          <w:numId w:val="1030"/>
        </w:numPr>
      </w:pPr>
      <w:r>
        <w:t xml:space="preserve">Operational readiness</w:t>
      </w:r>
    </w:p>
    <w:p>
      <w:r>
        <w:pict>
          <v:rect style="width:0;height:1.5pt" o:hralign="center" o:hrstd="t" o:hr="t"/>
        </w:pict>
      </w:r>
    </w:p>
    <w:bookmarkEnd w:id="74"/>
    <w:bookmarkStart w:id="75" w:name="commercial"/>
    <w:p>
      <w:pPr>
        <w:pStyle w:val="Heading2"/>
      </w:pPr>
      <w:r>
        <w:t xml:space="preserve">Commercial</w:t>
      </w:r>
    </w:p>
    <w:p>
      <w:pPr>
        <w:pStyle w:val="Compact"/>
        <w:numPr>
          <w:ilvl w:val="0"/>
          <w:numId w:val="1031"/>
        </w:numPr>
      </w:pPr>
      <w:r>
        <w:t xml:space="preserve">Complete documentation</w:t>
      </w:r>
    </w:p>
    <w:p>
      <w:pPr>
        <w:pStyle w:val="Compact"/>
        <w:numPr>
          <w:ilvl w:val="0"/>
          <w:numId w:val="1031"/>
        </w:numPr>
      </w:pPr>
      <w:r>
        <w:t xml:space="preserve">Product academy</w:t>
      </w:r>
    </w:p>
    <w:p>
      <w:pPr>
        <w:pStyle w:val="Compact"/>
        <w:numPr>
          <w:ilvl w:val="0"/>
          <w:numId w:val="1031"/>
        </w:numPr>
      </w:pPr>
      <w:r>
        <w:t xml:space="preserve">Administrator guides</w:t>
      </w:r>
    </w:p>
    <w:p>
      <w:pPr>
        <w:pStyle w:val="Compact"/>
        <w:numPr>
          <w:ilvl w:val="0"/>
          <w:numId w:val="1031"/>
        </w:numPr>
      </w:pPr>
      <w:r>
        <w:t xml:space="preserve">API documentation</w:t>
      </w:r>
    </w:p>
    <w:p>
      <w:pPr>
        <w:pStyle w:val="Compact"/>
        <w:numPr>
          <w:ilvl w:val="0"/>
          <w:numId w:val="1031"/>
        </w:numPr>
      </w:pPr>
      <w:r>
        <w:t xml:space="preserve">Customer onboarding</w:t>
      </w:r>
    </w:p>
    <w:p>
      <w:r>
        <w:pict>
          <v:rect style="width:0;height:1.5pt" o:hralign="center" o:hrstd="t" o:hr="t"/>
        </w:pict>
      </w:r>
    </w:p>
    <w:bookmarkEnd w:id="75"/>
    <w:bookmarkStart w:id="76" w:name="business"/>
    <w:p>
      <w:pPr>
        <w:pStyle w:val="Heading2"/>
      </w:pPr>
      <w:r>
        <w:t xml:space="preserve">Business</w:t>
      </w:r>
    </w:p>
    <w:p>
      <w:pPr>
        <w:pStyle w:val="Compact"/>
        <w:numPr>
          <w:ilvl w:val="0"/>
          <w:numId w:val="1032"/>
        </w:numPr>
      </w:pPr>
      <w:r>
        <w:t xml:space="preserve">Repeatable sales process</w:t>
      </w:r>
    </w:p>
    <w:p>
      <w:pPr>
        <w:pStyle w:val="Compact"/>
        <w:numPr>
          <w:ilvl w:val="0"/>
          <w:numId w:val="1032"/>
        </w:numPr>
      </w:pPr>
      <w:r>
        <w:t xml:space="preserve">Production-ready demo environment</w:t>
      </w:r>
    </w:p>
    <w:p>
      <w:pPr>
        <w:pStyle w:val="Compact"/>
        <w:numPr>
          <w:ilvl w:val="0"/>
          <w:numId w:val="1032"/>
        </w:numPr>
      </w:pPr>
      <w:r>
        <w:t xml:space="preserve">Enterprise-ready platform</w:t>
      </w:r>
    </w:p>
    <w:p>
      <w:pPr>
        <w:pStyle w:val="Compact"/>
        <w:numPr>
          <w:ilvl w:val="0"/>
          <w:numId w:val="1032"/>
        </w:numPr>
      </w:pPr>
      <w:r>
        <w:t xml:space="preserve">First 10 paying customers</w:t>
      </w:r>
    </w:p>
    <w:p>
      <w:pPr>
        <w:pStyle w:val="Compact"/>
        <w:numPr>
          <w:ilvl w:val="0"/>
          <w:numId w:val="1032"/>
        </w:numPr>
      </w:pPr>
      <w:r>
        <w:t xml:space="preserve">Customer-led product roadmap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long-term-vision"/>
    <w:p>
      <w:pPr>
        <w:pStyle w:val="Heading1"/>
      </w:pPr>
      <w:r>
        <w:t xml:space="preserve">Long-Term Vision</w:t>
      </w:r>
    </w:p>
    <w:p>
      <w:pPr>
        <w:pStyle w:val="FirstParagraph"/>
      </w:pPr>
      <w:r>
        <w:t xml:space="preserve">AUDT is no longer simply a Vendor Governance platform.</w:t>
      </w:r>
    </w:p>
    <w:p>
      <w:pPr>
        <w:pStyle w:val="BodyText"/>
      </w:pPr>
      <w:r>
        <w:t xml:space="preserve">It becomes the</w:t>
      </w:r>
      <w:r>
        <w:t xml:space="preserve"> </w:t>
      </w:r>
      <w:r>
        <w:rPr>
          <w:b/>
          <w:bCs/>
        </w:rPr>
        <w:t xml:space="preserve">AI Trust Operating System</w:t>
      </w:r>
      <w:r>
        <w:t xml:space="preserve"> </w:t>
      </w:r>
      <w:r>
        <w:t xml:space="preserve">for modern organizations.</w:t>
      </w:r>
    </w:p>
    <w:p>
      <w:pPr>
        <w:pStyle w:val="BodyText"/>
      </w:pPr>
      <w:r>
        <w:t xml:space="preserve">Every vendor.</w:t>
      </w:r>
    </w:p>
    <w:p>
      <w:pPr>
        <w:pStyle w:val="BodyText"/>
      </w:pPr>
      <w:r>
        <w:t xml:space="preserve">Every asset.</w:t>
      </w:r>
    </w:p>
    <w:p>
      <w:pPr>
        <w:pStyle w:val="BodyText"/>
      </w:pPr>
      <w:r>
        <w:t xml:space="preserve">Every control.</w:t>
      </w:r>
    </w:p>
    <w:p>
      <w:pPr>
        <w:pStyle w:val="BodyText"/>
      </w:pPr>
      <w:r>
        <w:t xml:space="preserve">Every policy.</w:t>
      </w:r>
    </w:p>
    <w:p>
      <w:pPr>
        <w:pStyle w:val="BodyText"/>
      </w:pPr>
      <w:r>
        <w:t xml:space="preserve">Every audit.</w:t>
      </w:r>
    </w:p>
    <w:p>
      <w:pPr>
        <w:pStyle w:val="BodyText"/>
      </w:pPr>
      <w:r>
        <w:t xml:space="preserve">Every decision.</w:t>
      </w:r>
    </w:p>
    <w:p>
      <w:pPr>
        <w:pStyle w:val="BodyText"/>
      </w:pPr>
      <w:r>
        <w:t xml:space="preserve">One platform.</w:t>
      </w:r>
    </w:p>
    <w:p>
      <w:pPr>
        <w:pStyle w:val="BodyText"/>
      </w:pPr>
      <w:r>
        <w:t xml:space="preserve">One intelligence layer.</w:t>
      </w:r>
    </w:p>
    <w:p>
      <w:pPr>
        <w:pStyle w:val="BodyText"/>
      </w:pPr>
      <w:r>
        <w:t xml:space="preserve">One continuously evolving Trust Operating System.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2026-06-26T00:36:57Z</dcterms:created>
  <dcterms:modified xsi:type="dcterms:W3CDTF">2026-06-26T00:36:57Z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