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line="264"/>
        <w:jc w:val="center"/>
      </w:pPr>
      <w:r>
        <w:rPr>
          <w:rFonts w:ascii="Times New Roman" w:cs="Times New Roman" w:eastAsia="Times New Roman" w:hAnsi="Times New Roman"/>
          <w:b/>
          <w:bCs/>
          <w:sz w:val="32"/>
          <w:szCs w:val="32"/>
        </w:rPr>
        <w:t xml:space="preserve">Graph-Augmented Pantry-Aware Semantic Retrieval for Multi-Day Meal Planning under Cost and Waste Constraints</w:t>
      </w:r>
    </w:p>
    <w:p>
      <w:pPr>
        <w:spacing w:after="60" w:before="0" w:line="264"/>
        <w:jc w:val="center"/>
      </w:pPr>
      <w:r>
        <w:rPr>
          <w:rFonts w:ascii="Times New Roman" w:cs="Times New Roman" w:eastAsia="Times New Roman" w:hAnsi="Times New Roman"/>
          <w:sz w:val="22"/>
          <w:szCs w:val="22"/>
        </w:rPr>
        <w:t xml:space="preserve">Sandilya Chimalamarri, Sai Priyanka Bonkuri, Pavan Charith Devarapalli, Sai Dheeraj Gollu</w:t>
      </w:r>
    </w:p>
    <w:p>
      <w:pPr>
        <w:spacing w:after="60" w:before="0" w:line="264"/>
        <w:jc w:val="center"/>
      </w:pPr>
      <w:r>
        <w:rPr>
          <w:rFonts w:ascii="Times New Roman" w:cs="Times New Roman" w:eastAsia="Times New Roman" w:hAnsi="Times New Roman"/>
          <w:i/>
          <w:iCs/>
          <w:sz w:val="20"/>
          <w:szCs w:val="20"/>
        </w:rPr>
        <w:t xml:space="preserve">Department of Computer Engineering, San Jose State University, San Jose, CA 95192, USA</w:t>
      </w:r>
    </w:p>
    <w:p>
      <w:pPr>
        <w:spacing w:after="200" w:before="0" w:line="264"/>
        <w:jc w:val="center"/>
      </w:pPr>
      <w:r>
        <w:rPr>
          <w:rFonts w:ascii="Times New Roman" w:cs="Times New Roman" w:eastAsia="Times New Roman" w:hAnsi="Times New Roman"/>
          <w:sz w:val="20"/>
          <w:szCs w:val="20"/>
        </w:rPr>
        <w:t xml:space="preserve">Email: sandilya.chimalamarri@sjsu.edu</w:t>
      </w:r>
    </w:p>
    <w:p>
      <w:pPr>
        <w:spacing w:after="120" w:before="240" w:line="264"/>
        <w:jc w:val="left"/>
      </w:pPr>
      <w:r>
        <w:rPr>
          <w:rFonts w:ascii="Times New Roman" w:cs="Times New Roman" w:eastAsia="Times New Roman" w:hAnsi="Times New Roman"/>
          <w:b/>
          <w:bCs/>
          <w:sz w:val="22"/>
          <w:szCs w:val="22"/>
        </w:rPr>
        <w:t xml:space="preserve">Abstract</w:t>
      </w:r>
    </w:p>
    <w:p>
      <w:pPr>
        <w:spacing w:after="120" w:before="0" w:line="264"/>
        <w:jc w:val="both"/>
      </w:pPr>
      <w:r>
        <w:rPr>
          <w:rFonts w:ascii="Times New Roman" w:cs="Times New Roman" w:eastAsia="Times New Roman" w:hAnsi="Times New Roman"/>
          <w:sz w:val="20"/>
          <w:szCs w:val="20"/>
        </w:rPr>
        <w:t xml:space="preserve">Real-world meal planning requires balancing competing objectives that go far beyond returning relevant recipes for a single query. Users must account for what ingredients are already available in their pantry, minimize the cost of acquiring new items, reduce food waste from unused perishables, and ensure that ingredient substitutions are feasible when exact matches are unavailable. Existing recipe retrieval systems predominantly optimize for single-recipe relevance, neglecting these week-level planning constraints. In this paper, we present </w:t>
      </w:r>
      <w:r>
        <w:rPr>
          <w:rFonts w:ascii="Times New Roman" w:cs="Times New Roman" w:eastAsia="Times New Roman" w:hAnsi="Times New Roman"/>
          <w:i/>
          <w:iCs/>
          <w:sz w:val="20"/>
          <w:szCs w:val="20"/>
        </w:rPr>
        <w:t xml:space="preserve">Plate Planner</w:t>
      </w:r>
      <w:r>
        <w:rPr>
          <w:rFonts w:ascii="Times New Roman" w:cs="Times New Roman" w:eastAsia="Times New Roman" w:hAnsi="Times New Roman"/>
          <w:sz w:val="20"/>
          <w:szCs w:val="20"/>
        </w:rPr>
        <w:t xml:space="preserve">, a graph-augmented, pantry-aware semantic retrieval framework that selects multi-day meal plans while maximizing semantic relevance and minimizing incremental shopping burden and waste. Our architecture integrates a four-stage hybrid retrieval pipeline: (1) FAISS-based semantic search using SentenceTransformer embeddings over a corpus of 100K+ recipes, (2) Neo4j graph-based ontology filtering with context-aware ingredient substitution, (3) nutrient-aware mathematical ranking, and (4) retrieval-augmented generation (RAG) for explainable recommendations. We introduce three core contributions: a pantry-aware retrieval objective (C1), graph-augmented substitution-aware reranking (C2), and plan-level selection with multi-day evaluation metrics (C3). Experimental evaluation against semantic-only, overlap-only, and existing hybrid baselines demonstrates that our approach achieves sub-100ms p95 latency for recipe suggestion, 92% user satisfaction for context-aware substitutions, 23% recall improvement over direct-only substitution, and 85% user preference for the hybrid scoring function. We report both recipe-level metrics (semantic relevance, missing ingredient count, substitution coverage) and plan-level metrics (pantry utilization, shopping burden, waste proxy) across reproducible simulated scenarios.</w:t>
      </w:r>
    </w:p>
    <w:p>
      <w:pPr>
        <w:spacing w:after="200" w:before="0" w:line="264"/>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 — semantic retrieval, meal planning, knowledge graph, ingredient substitution, FAISS, Neo4j, pantry-aware recommendation, food computing, multi-objective optimization, explainable AI</w:t>
      </w:r>
    </w:p>
    <w:p>
      <w:pPr>
        <w:spacing w:after="120" w:before="240" w:line="264"/>
        <w:jc w:val="left"/>
      </w:pPr>
      <w:r>
        <w:rPr>
          <w:rFonts w:ascii="Times New Roman" w:cs="Times New Roman" w:eastAsia="Times New Roman" w:hAnsi="Times New Roman"/>
          <w:b/>
          <w:bCs/>
          <w:sz w:val="22"/>
          <w:szCs w:val="22"/>
        </w:rPr>
        <w:t xml:space="preserve">I. Introduction</w:t>
      </w:r>
    </w:p>
    <w:p>
      <w:pPr>
        <w:spacing w:after="120" w:before="0" w:line="264"/>
        <w:jc w:val="both"/>
      </w:pPr>
      <w:r>
        <w:rPr>
          <w:rFonts w:ascii="Times New Roman" w:cs="Times New Roman" w:eastAsia="Times New Roman" w:hAnsi="Times New Roman"/>
          <w:sz w:val="20"/>
          <w:szCs w:val="20"/>
        </w:rPr>
        <w:t xml:space="preserve">The global food planning and recipe recommendation domain has witnessed significant growth driven by the proliferation of digital health applications and increasing consumer interest in dietary management. According to recent industry analyses, the smart kitchen and meal planning market is projected to exceed $30 billion by 2027, with users increasingly demanding personalized, intelligent systems that go beyond simple keyword-based recipe search.</w:t>
      </w:r>
    </w:p>
    <w:p>
      <w:pPr>
        <w:spacing w:after="120" w:before="0" w:line="264"/>
        <w:jc w:val="both"/>
      </w:pPr>
      <w:r>
        <w:rPr>
          <w:rFonts w:ascii="Times New Roman" w:cs="Times New Roman" w:eastAsia="Times New Roman" w:hAnsi="Times New Roman"/>
          <w:sz w:val="20"/>
          <w:szCs w:val="20"/>
        </w:rPr>
        <w:t xml:space="preserve">Traditional recipe retrieval systems operate on a single-query, single-recipe paradigm: a user provides a set of ingredients or a textual description, and the system returns a ranked list of individual recipes. While effective for isolated recipe discovery, this paradigm fails to address the compound optimization problem inherent in real-world meal planning. When planning meals for an entire week, users must simultaneously consider: (a) what ingredients are already available in the pantry, (b) which ingredients can be substituted when exact matches are unavailable, (c) how to minimize the total number of new items that must be purchased, (d) how to reduce waste from perishable ingredients that go unused, and (e) how to maintain dietary variety and nutritional balance across multiple days.</w:t>
      </w:r>
    </w:p>
    <w:p>
      <w:pPr>
        <w:spacing w:after="120" w:before="0" w:line="264"/>
        <w:jc w:val="both"/>
      </w:pPr>
      <w:r>
        <w:rPr>
          <w:rFonts w:ascii="Times New Roman" w:cs="Times New Roman" w:eastAsia="Times New Roman" w:hAnsi="Times New Roman"/>
          <w:sz w:val="20"/>
          <w:szCs w:val="20"/>
        </w:rPr>
        <w:t xml:space="preserve">These challenges are fundamentally interconnected. A recipe that appears highly relevant to a single query may be suboptimal in a weekly context if it requires many unique ingredients that overlap with no other meals in the plan. Conversely, a slightly less relevant recipe that shares common ingredients across multiple planned meals may significantly reduce shopping burden and waste. Existing systems that optimize recipes independently cannot capture these cross-recipe dependencies.</w:t>
      </w:r>
    </w:p>
    <w:p>
      <w:pPr>
        <w:spacing w:after="120" w:before="0" w:line="264"/>
        <w:jc w:val="both"/>
      </w:pPr>
      <w:r>
        <w:rPr>
          <w:rFonts w:ascii="Times New Roman" w:cs="Times New Roman" w:eastAsia="Times New Roman" w:hAnsi="Times New Roman"/>
          <w:sz w:val="20"/>
          <w:szCs w:val="20"/>
        </w:rPr>
        <w:t xml:space="preserve">In this paper, we introduce Plate Planner, a graph-augmented, pantry-aware semantic retrieval framework designed to address these gaps. Our system treats the pantry, leftovers, and shopping list as first-class context signals in the retrieval process, optimizes over sets of recipes for multi-day planning rather than individual recipe ranking, and employs a transparent scoring function with interpretable components rather than relying on opaque black-box recommenders.</w:t>
      </w:r>
    </w:p>
    <w:p>
      <w:pPr>
        <w:spacing w:after="120" w:before="0" w:line="264"/>
        <w:jc w:val="both"/>
      </w:pPr>
      <w:r>
        <w:rPr>
          <w:rFonts w:ascii="Times New Roman" w:cs="Times New Roman" w:eastAsia="Times New Roman" w:hAnsi="Times New Roman"/>
          <w:sz w:val="20"/>
          <w:szCs w:val="20"/>
        </w:rPr>
        <w:t xml:space="preserve">Our framework implements a four-stage hybrid retrieval pipeline that combines the strengths of dense vector search (FAISS with SentenceTransformer embeddings), structured graph reasoning (Neo4j knowledge graph with context-aware substitution edges), mathematical nutrient optimization, and large language model (LLM)-based generation for explainability. This multi-stage approach enables the system to balance semantic relevance with practical meal-planning constraints in a principled and efficient manner.</w:t>
      </w:r>
    </w:p>
    <w:p>
      <w:pPr>
        <w:spacing w:after="120" w:before="0" w:line="264"/>
        <w:jc w:val="both"/>
      </w:pPr>
      <w:r>
        <w:rPr>
          <w:rFonts w:ascii="Times New Roman" w:cs="Times New Roman" w:eastAsia="Times New Roman" w:hAnsi="Times New Roman"/>
          <w:sz w:val="20"/>
          <w:szCs w:val="20"/>
        </w:rPr>
        <w:t xml:space="preserve">The remainder of this paper is organized as follows. Section II reviews related work in recipe retrieval, food knowledge graphs, and multi-objective meal planning. Section III presents the system architecture and design. Section IV details our methodology, including the hybrid scoring function, graph-augmented substitution, and plan-level selection algorithms. Section V describes the experimental setup, baselines, and evaluation protocol. Section VI presents results and discussion. Section VII concludes with future research directions.</w:t>
      </w:r>
    </w:p>
    <w:p>
      <w:pPr>
        <w:spacing w:after="120" w:before="240" w:line="264"/>
        <w:jc w:val="left"/>
      </w:pPr>
      <w:r>
        <w:rPr>
          <w:rFonts w:ascii="Times New Roman" w:cs="Times New Roman" w:eastAsia="Times New Roman" w:hAnsi="Times New Roman"/>
          <w:b/>
          <w:bCs/>
          <w:sz w:val="22"/>
          <w:szCs w:val="22"/>
        </w:rPr>
        <w:t xml:space="preserve">II. Related Work</w:t>
      </w:r>
    </w:p>
    <w:p>
      <w:pPr>
        <w:spacing w:after="60" w:before="180" w:line="264"/>
        <w:jc w:val="left"/>
      </w:pPr>
      <w:r>
        <w:rPr>
          <w:rFonts w:ascii="Times New Roman" w:cs="Times New Roman" w:eastAsia="Times New Roman" w:hAnsi="Times New Roman"/>
          <w:b/>
          <w:bCs/>
          <w:i/>
          <w:iCs/>
          <w:sz w:val="20"/>
          <w:szCs w:val="20"/>
        </w:rPr>
        <w:t xml:space="preserve">A. Semantic Recipe Retrieval</w:t>
      </w:r>
    </w:p>
    <w:p>
      <w:pPr>
        <w:spacing w:after="120" w:before="0" w:line="264"/>
        <w:jc w:val="both"/>
      </w:pPr>
      <w:r>
        <w:rPr>
          <w:rFonts w:ascii="Times New Roman" w:cs="Times New Roman" w:eastAsia="Times New Roman" w:hAnsi="Times New Roman"/>
          <w:sz w:val="20"/>
          <w:szCs w:val="20"/>
        </w:rPr>
        <w:t xml:space="preserve">Dense retrieval methods using pre-trained language models have transformed information retrieval. Systems such as DPR and ColBERT demonstrated that dense embeddings outperform sparse BM25 on open-domain question answering. In the food domain, Recipe1M+ introduced cross-modal embeddings linking recipe text and food images, while RecipeNLG provided a large-scale corpus of over two million recipes with named entity recognition (NER) annotations suitable for training embedding models. Salvador et al. demonstrated the effectiveness of learning joint embeddings for recipe and food image retrieval. However, these systems focus on individual recipe relevance and do not incorporate pantry-aware or plan-level optimization.</w:t>
      </w:r>
    </w:p>
    <w:p>
      <w:pPr>
        <w:spacing w:after="60" w:before="180" w:line="264"/>
        <w:jc w:val="left"/>
      </w:pPr>
      <w:r>
        <w:rPr>
          <w:rFonts w:ascii="Times New Roman" w:cs="Times New Roman" w:eastAsia="Times New Roman" w:hAnsi="Times New Roman"/>
          <w:b/>
          <w:bCs/>
          <w:i/>
          <w:iCs/>
          <w:sz w:val="20"/>
          <w:szCs w:val="20"/>
        </w:rPr>
        <w:t xml:space="preserve">B. Food Knowledge Graphs</w:t>
      </w:r>
    </w:p>
    <w:p>
      <w:pPr>
        <w:spacing w:after="120" w:before="0" w:line="264"/>
        <w:jc w:val="both"/>
      </w:pPr>
      <w:r>
        <w:rPr>
          <w:rFonts w:ascii="Times New Roman" w:cs="Times New Roman" w:eastAsia="Times New Roman" w:hAnsi="Times New Roman"/>
          <w:sz w:val="20"/>
          <w:szCs w:val="20"/>
        </w:rPr>
        <w:t xml:space="preserve">Knowledge graphs have been applied to food computing for ingredient relationship modeling, nutritional reasoning, and substitution inference. FoodKG integrated data from multiple food databases into a unified knowledge graph. Teng et al. explored context-aware ingredient substitution using graph structures, demonstrating that substitution viability depends on the recipe context (baking vs. stir-frying). Park et al. proposed KitchenScale, a knowledge graph for cooking procedures. Our work extends these approaches by using a Neo4j property graph with typed substitution edges (SUBSTITUTES_WITH, SIMILAR_TO) that carry context labels and confidence scores, enabling hybrid substitution that blends curated direct edges with learned co-occurrence patterns.</w:t>
      </w:r>
    </w:p>
    <w:p>
      <w:pPr>
        <w:spacing w:after="60" w:before="180" w:line="264"/>
        <w:jc w:val="left"/>
      </w:pPr>
      <w:r>
        <w:rPr>
          <w:rFonts w:ascii="Times New Roman" w:cs="Times New Roman" w:eastAsia="Times New Roman" w:hAnsi="Times New Roman"/>
          <w:b/>
          <w:bCs/>
          <w:i/>
          <w:iCs/>
          <w:sz w:val="20"/>
          <w:szCs w:val="20"/>
        </w:rPr>
        <w:t xml:space="preserve">C. Multi-Objective Meal Planning</w:t>
      </w:r>
    </w:p>
    <w:p>
      <w:pPr>
        <w:spacing w:after="120" w:before="0" w:line="264"/>
        <w:jc w:val="both"/>
      </w:pPr>
      <w:r>
        <w:rPr>
          <w:rFonts w:ascii="Times New Roman" w:cs="Times New Roman" w:eastAsia="Times New Roman" w:hAnsi="Times New Roman"/>
          <w:sz w:val="20"/>
          <w:szCs w:val="20"/>
        </w:rPr>
        <w:t xml:space="preserve">Automated meal planning has been addressed through constraint satisfaction, integer programming, and evolutionary algorithms. Mika proposed using mixed-integer programming for weekly menu generation under nutritional constraints. Ribeiro et al. explored evolutionary approaches for generating diverse meal plans. More recently, recommendation system approaches have been applied, including collaborative filtering and content-based methods. However, these approaches typically do not integrate pantry state, real-time ingredient substitution, or shopping burden minimization as optimization objectives. Our work bridges the gap between retrieval systems and meal planning optimization by introducing pantry utilization, shopping burden, and waste proxy as explicit plan-level metrics alongside traditional recipe-level relevance measures.</w:t>
      </w:r>
    </w:p>
    <w:p>
      <w:pPr>
        <w:spacing w:after="60" w:before="180" w:line="264"/>
        <w:jc w:val="left"/>
      </w:pPr>
      <w:r>
        <w:rPr>
          <w:rFonts w:ascii="Times New Roman" w:cs="Times New Roman" w:eastAsia="Times New Roman" w:hAnsi="Times New Roman"/>
          <w:b/>
          <w:bCs/>
          <w:i/>
          <w:iCs/>
          <w:sz w:val="20"/>
          <w:szCs w:val="20"/>
        </w:rPr>
        <w:t xml:space="preserve">D. Retrieval-Augmented Generation in Food Systems</w:t>
      </w:r>
    </w:p>
    <w:p>
      <w:pPr>
        <w:spacing w:after="120" w:before="0" w:line="264"/>
        <w:jc w:val="both"/>
      </w:pPr>
      <w:r>
        <w:rPr>
          <w:rFonts w:ascii="Times New Roman" w:cs="Times New Roman" w:eastAsia="Times New Roman" w:hAnsi="Times New Roman"/>
          <w:sz w:val="20"/>
          <w:szCs w:val="20"/>
        </w:rPr>
        <w:t xml:space="preserve">RAG systems combine retrieval with generative models to produce grounded, explainable outputs. Lewis et al. introduced the RAG framework for knowledge-intensive NLP tasks. In food computing, RAG has been applied for recipe generation and dietary advice. Our system employs RAG as the fourth stage of the hybrid pipeline, generating natural language explanations for why a recipe was selected and how substitutions were determined, addressing the growing demand for transparent AI systems in consumer-facing health applications.</w:t>
      </w:r>
    </w:p>
    <w:p>
      <w:pPr>
        <w:spacing w:after="120" w:before="240" w:line="264"/>
        <w:jc w:val="left"/>
      </w:pPr>
      <w:r>
        <w:rPr>
          <w:rFonts w:ascii="Times New Roman" w:cs="Times New Roman" w:eastAsia="Times New Roman" w:hAnsi="Times New Roman"/>
          <w:b/>
          <w:bCs/>
          <w:sz w:val="22"/>
          <w:szCs w:val="22"/>
        </w:rPr>
        <w:t xml:space="preserve">III. System Architecture</w:t>
      </w:r>
    </w:p>
    <w:p>
      <w:pPr>
        <w:spacing w:after="120" w:before="0" w:line="264"/>
        <w:jc w:val="both"/>
      </w:pPr>
      <w:r>
        <w:rPr>
          <w:rFonts w:ascii="Times New Roman" w:cs="Times New Roman" w:eastAsia="Times New Roman" w:hAnsi="Times New Roman"/>
          <w:sz w:val="20"/>
          <w:szCs w:val="20"/>
        </w:rPr>
        <w:t xml:space="preserve">Plate Planner follows a layered microservice architecture deployed via Docker Compose. The system comprises four principal layers: the API Gateway layer (FastAPI with async request handling), the ML Inference layer (SentenceTransformer embeddings and FAISS vector search), the Graph Reasoning layer (Neo4j for structured relationships and substitution logic), and the Data layer (SQLite for recipe metadata, CSV for processed datasets, NumPy arrays for embedding storage).</w:t>
      </w:r>
    </w:p>
    <w:p>
      <w:pPr>
        <w:spacing w:after="60" w:before="180" w:line="264"/>
        <w:jc w:val="left"/>
      </w:pPr>
      <w:r>
        <w:rPr>
          <w:rFonts w:ascii="Times New Roman" w:cs="Times New Roman" w:eastAsia="Times New Roman" w:hAnsi="Times New Roman"/>
          <w:b/>
          <w:bCs/>
          <w:i/>
          <w:iCs/>
          <w:sz w:val="20"/>
          <w:szCs w:val="20"/>
        </w:rPr>
        <w:t xml:space="preserve">A. Data Pipeline and Preprocessing</w:t>
      </w:r>
    </w:p>
    <w:p>
      <w:pPr>
        <w:spacing w:after="120" w:before="0" w:line="264"/>
        <w:jc w:val="both"/>
      </w:pPr>
      <w:r>
        <w:rPr>
          <w:rFonts w:ascii="Times New Roman" w:cs="Times New Roman" w:eastAsia="Times New Roman" w:hAnsi="Times New Roman"/>
          <w:sz w:val="20"/>
          <w:szCs w:val="20"/>
        </w:rPr>
        <w:t xml:space="preserve">The data pipeline ingests the RecipeNLG dataset containing over 2.2 million recipes with titles, ingredient lists, cooking directions, and NER-extracted ingredient entities. Preprocessing involves deduplication, ingredient normalization using spaCy lemmatization, and named entity extraction achieving 87% precision and 82% recall. Normalized ingredients are mapped to canonical forms via a YAML-configurable normalizer that handles synonyms (e.g., "scallion" to "green onion"), unit standardization, and descriptor removal (e.g., removing "fresh," "chopped," "diced" qualifiers). The processed dataset is split into development and test partitions using a deterministic strategy with fixed random seeds to ensure reproducibility.</w:t>
      </w:r>
    </w:p>
    <w:p>
      <w:pPr>
        <w:spacing w:after="60" w:before="180" w:line="264"/>
        <w:jc w:val="left"/>
      </w:pPr>
      <w:r>
        <w:rPr>
          <w:rFonts w:ascii="Times New Roman" w:cs="Times New Roman" w:eastAsia="Times New Roman" w:hAnsi="Times New Roman"/>
          <w:b/>
          <w:bCs/>
          <w:i/>
          <w:iCs/>
          <w:sz w:val="20"/>
          <w:szCs w:val="20"/>
        </w:rPr>
        <w:t xml:space="preserve">B. Embedding Generation and FAISS Indexing</w:t>
      </w:r>
    </w:p>
    <w:p>
      <w:pPr>
        <w:spacing w:after="120" w:before="0" w:line="264"/>
        <w:jc w:val="both"/>
      </w:pPr>
      <w:r>
        <w:rPr>
          <w:rFonts w:ascii="Times New Roman" w:cs="Times New Roman" w:eastAsia="Times New Roman" w:hAnsi="Times New Roman"/>
          <w:sz w:val="20"/>
          <w:szCs w:val="20"/>
        </w:rPr>
        <w:t xml:space="preserve">Recipe text fields are encoded using the all-MiniLM-L6-v2 SentenceTransformer model, producing 384-dimensional dense vectors. All vectors are L2-normalized so that inner product search on the FAISS IndexFlatIP corresponds to cosine similarity. The resulting index supports sub-millisecond search over the full corpus. For production deployment, we employ quantized indices (IVF-PQ) that reduce memory footprint to approximately 90 MB while maintaining retrieval quality. The system auto-detects fine-tuned domain-specific models when available, falling back to the base model otherwise.</w:t>
      </w:r>
    </w:p>
    <w:p>
      <w:pPr>
        <w:spacing w:after="60" w:before="180" w:line="264"/>
        <w:jc w:val="left"/>
      </w:pPr>
      <w:r>
        <w:rPr>
          <w:rFonts w:ascii="Times New Roman" w:cs="Times New Roman" w:eastAsia="Times New Roman" w:hAnsi="Times New Roman"/>
          <w:b/>
          <w:bCs/>
          <w:i/>
          <w:iCs/>
          <w:sz w:val="20"/>
          <w:szCs w:val="20"/>
        </w:rPr>
        <w:t xml:space="preserve">C. Neo4j Knowledge Graph</w:t>
      </w:r>
    </w:p>
    <w:p>
      <w:pPr>
        <w:spacing w:after="120" w:before="0" w:line="264"/>
        <w:jc w:val="both"/>
      </w:pPr>
      <w:r>
        <w:rPr>
          <w:rFonts w:ascii="Times New Roman" w:cs="Times New Roman" w:eastAsia="Times New Roman" w:hAnsi="Times New Roman"/>
          <w:sz w:val="20"/>
          <w:szCs w:val="20"/>
        </w:rPr>
        <w:t xml:space="preserve">The knowledge graph stores recipes and ingredients as typed nodes with three relationship types: HAS_INGREDIENT (connecting recipes to their required ingredients), SUBSTITUTES_WITH (curated substitution edges carrying context labels and confidence scores), and SIMILAR_TO (learned similarity edges derived from Word2Vec ingredient embeddings and co-occurrence analysis). The graph contains uniqueness constraints on ingredient names and recipe identifiers, with batch loading of 500 nodes per transaction for efficient bootstrap. Query times are maintained below 10 ms for 95% of operations through index-backed lookups and PROFILE-guided query optimization, achieving a 3x performance improvement over unoptimized queries.</w:t>
      </w:r>
    </w:p>
    <w:p>
      <w:pPr>
        <w:spacing w:after="60" w:before="180" w:line="264"/>
        <w:jc w:val="left"/>
      </w:pPr>
      <w:r>
        <w:rPr>
          <w:rFonts w:ascii="Times New Roman" w:cs="Times New Roman" w:eastAsia="Times New Roman" w:hAnsi="Times New Roman"/>
          <w:b/>
          <w:bCs/>
          <w:i/>
          <w:iCs/>
          <w:sz w:val="20"/>
          <w:szCs w:val="20"/>
        </w:rPr>
        <w:t xml:space="preserve">D. Four-Stage Hybrid Retrieval Pipeline</w:t>
      </w:r>
    </w:p>
    <w:p>
      <w:pPr>
        <w:spacing w:after="120" w:before="0" w:line="264"/>
        <w:jc w:val="both"/>
      </w:pPr>
      <w:r>
        <w:rPr>
          <w:rFonts w:ascii="Times New Roman" w:cs="Times New Roman" w:eastAsia="Times New Roman" w:hAnsi="Times New Roman"/>
          <w:sz w:val="20"/>
          <w:szCs w:val="20"/>
        </w:rPr>
        <w:t xml:space="preserve">The core retrieval pipeline operates in four sequential stages, each progressively refining the candidate set:</w:t>
      </w:r>
    </w:p>
    <w:p>
      <w:pPr>
        <w:spacing w:after="120" w:before="0" w:line="264"/>
        <w:jc w:val="both"/>
      </w:pPr>
      <w:r>
        <w:rPr>
          <w:rFonts w:ascii="Times New Roman" w:cs="Times New Roman" w:eastAsia="Times New Roman" w:hAnsi="Times New Roman"/>
          <w:sz w:val="20"/>
          <w:szCs w:val="20"/>
        </w:rPr>
        <w:t xml:space="preserve">Stage 1 (Semantic Retrieval): The user query (ingredient list, natural language description, or pantry contents) is encoded via SentenceTransformer and searched against the FAISS index, returning the top K = 200 candidates ranked by cosine similarity. This broad initial retrieval ensures high recall.</w:t>
      </w:r>
    </w:p>
    <w:p>
      <w:pPr>
        <w:spacing w:after="120" w:before="0" w:line="264"/>
        <w:jc w:val="both"/>
      </w:pPr>
      <w:r>
        <w:rPr>
          <w:rFonts w:ascii="Times New Roman" w:cs="Times New Roman" w:eastAsia="Times New Roman" w:hAnsi="Times New Roman"/>
          <w:sz w:val="20"/>
          <w:szCs w:val="20"/>
        </w:rPr>
        <w:t xml:space="preserve">Stage 2 (Ontology Filtering): Candidates are passed through Neo4j graph queries that enforce strict dietary constraints (e.g., removing recipes containing allergens or violating dietary restrictions). This deterministic filtering stage ensures safety and compliance with user-specified restrictions.</w:t>
      </w:r>
    </w:p>
    <w:p>
      <w:pPr>
        <w:spacing w:after="120" w:before="0" w:line="264"/>
        <w:jc w:val="both"/>
      </w:pPr>
      <w:r>
        <w:rPr>
          <w:rFonts w:ascii="Times New Roman" w:cs="Times New Roman" w:eastAsia="Times New Roman" w:hAnsi="Times New Roman"/>
          <w:sz w:val="20"/>
          <w:szCs w:val="20"/>
        </w:rPr>
        <w:t xml:space="preserve">Stage 3 (Nutrient Ranking): Remaining candidates are scored using a mathematical fitness function that measures the distance between the recipe's estimated nutritional profile and the user's goals (calorie targets, macronutrient ratios, budget constraints). Recipes are re-ranked by this composite fitness score.</w:t>
      </w:r>
    </w:p>
    <w:p>
      <w:pPr>
        <w:spacing w:after="120" w:before="0" w:line="264"/>
        <w:jc w:val="both"/>
      </w:pPr>
      <w:r>
        <w:rPr>
          <w:rFonts w:ascii="Times New Roman" w:cs="Times New Roman" w:eastAsia="Times New Roman" w:hAnsi="Times New Roman"/>
          <w:sz w:val="20"/>
          <w:szCs w:val="20"/>
        </w:rPr>
        <w:t xml:space="preserve">Stage 4 (RAG Generation): The top-ranked recipe is passed to a retrieval-augmented generation module that produces a natural language explanation of why the recipe was selected, how it aligns with the user's preferences, and what substitutions are available. The system supports multiple LLM backends (OpenAI GPT, Google Gemini, local Ollama) with automatic provider detection and graceful fallback.</w:t>
      </w:r>
    </w:p>
    <w:p>
      <w:pPr>
        <w:spacing w:after="120" w:before="240" w:line="264"/>
        <w:jc w:val="left"/>
      </w:pPr>
      <w:r>
        <w:rPr>
          <w:rFonts w:ascii="Times New Roman" w:cs="Times New Roman" w:eastAsia="Times New Roman" w:hAnsi="Times New Roman"/>
          <w:b/>
          <w:bCs/>
          <w:sz w:val="22"/>
          <w:szCs w:val="22"/>
        </w:rPr>
        <w:t xml:space="preserve">IV. Methodology</w:t>
      </w:r>
    </w:p>
    <w:p>
      <w:pPr>
        <w:spacing w:after="60" w:before="180" w:line="264"/>
        <w:jc w:val="left"/>
      </w:pPr>
      <w:r>
        <w:rPr>
          <w:rFonts w:ascii="Times New Roman" w:cs="Times New Roman" w:eastAsia="Times New Roman" w:hAnsi="Times New Roman"/>
          <w:b/>
          <w:bCs/>
          <w:i/>
          <w:iCs/>
          <w:sz w:val="20"/>
          <w:szCs w:val="20"/>
        </w:rPr>
        <w:t xml:space="preserve">A. Pantry-Aware Retrieval Objective (C1)</w:t>
      </w:r>
    </w:p>
    <w:p>
      <w:pPr>
        <w:spacing w:after="120" w:before="0" w:line="264"/>
        <w:jc w:val="both"/>
      </w:pPr>
      <w:r>
        <w:rPr>
          <w:rFonts w:ascii="Times New Roman" w:cs="Times New Roman" w:eastAsia="Times New Roman" w:hAnsi="Times New Roman"/>
          <w:sz w:val="20"/>
          <w:szCs w:val="20"/>
        </w:rPr>
        <w:t xml:space="preserve">Traditional semantic retrieval optimizes a single relevance score between query and document. We augment this objective with pantry-aware features that reflect real meal-planning intent. Given a user query q, a pantry state P (set of available ingredients), and a candidate recipe r with ingredient set I_r, the pantry-aware score is computed as:</w:t>
      </w:r>
    </w:p>
    <w:p>
      <w:pPr>
        <w:spacing w:after="120" w:before="120" w:line="264"/>
        <w:jc w:val="center"/>
      </w:pPr>
      <w:r>
        <w:rPr>
          <w:rFonts w:ascii="Times New Roman" w:cs="Times New Roman" w:eastAsia="Times New Roman" w:hAnsi="Times New Roman"/>
          <w:i/>
          <w:iCs/>
          <w:sz w:val="20"/>
          <w:szCs w:val="20"/>
        </w:rPr>
        <w:t xml:space="preserve">S(q, r, P) = (1 - w) · sim(q, r) + w · overlap(P, I_r)</w:t>
      </w:r>
    </w:p>
    <w:p>
      <w:pPr>
        <w:spacing w:after="120" w:before="0" w:line="264"/>
        <w:jc w:val="both"/>
      </w:pPr>
      <w:r>
        <w:rPr>
          <w:rFonts w:ascii="Times New Roman" w:cs="Times New Roman" w:eastAsia="Times New Roman" w:hAnsi="Times New Roman"/>
          <w:sz w:val="20"/>
          <w:szCs w:val="20"/>
        </w:rPr>
        <w:t xml:space="preserve">where sim(q, r) is the cosine similarity between the SentenceTransformer embeddings of q and r, overlap(P, I_r) = |P ∩ I_r| / |I_r| is the fraction of recipe ingredients already in the pantry, and w is a tunable reranking weight. Through empirical evaluation over a development set, we determined the optimal weight to be w = 0.6, indicating that ingredient overlap is weighted more heavily than pure semantic similarity in meal-planning scenarios. The overlap computation employs fuzzy matching with word-boundary regex patterns and plural handling to account for variations between pantry entries (e.g., "egg") and recipe ingredient specifications (e.g., "large eggs, beaten"). The semantic score is clamped to [0, 1] via max-min normalization on FAISS inner product distances.</w:t>
      </w:r>
    </w:p>
    <w:p>
      <w:pPr>
        <w:spacing w:after="60" w:before="180" w:line="264"/>
        <w:jc w:val="left"/>
      </w:pPr>
      <w:r>
        <w:rPr>
          <w:rFonts w:ascii="Times New Roman" w:cs="Times New Roman" w:eastAsia="Times New Roman" w:hAnsi="Times New Roman"/>
          <w:b/>
          <w:bCs/>
          <w:i/>
          <w:iCs/>
          <w:sz w:val="20"/>
          <w:szCs w:val="20"/>
        </w:rPr>
        <w:t xml:space="preserve">B. Graph-Augmented Substitution-Aware Reranking (C2)</w:t>
      </w:r>
    </w:p>
    <w:p>
      <w:pPr>
        <w:spacing w:after="120" w:before="0" w:line="264"/>
        <w:jc w:val="both"/>
      </w:pPr>
      <w:r>
        <w:rPr>
          <w:rFonts w:ascii="Times New Roman" w:cs="Times New Roman" w:eastAsia="Times New Roman" w:hAnsi="Times New Roman"/>
          <w:sz w:val="20"/>
          <w:szCs w:val="20"/>
        </w:rPr>
        <w:t xml:space="preserve">A recipe with missing ingredients should not be immediately discarded if feasible substitutions exist. We leverage the Neo4j knowledge graph to compute substitution feasibility signals that augment the ranking process. For each ingredient i in I_r that is missing from the pantry (i.e., i ∉ P), we query the graph for substitutes using a hybrid strategy that blends direct and co-occurrence signals:</w:t>
      </w:r>
    </w:p>
    <w:p>
      <w:pPr>
        <w:spacing w:after="120" w:before="120" w:line="264"/>
        <w:jc w:val="center"/>
      </w:pPr>
      <w:r>
        <w:rPr>
          <w:rFonts w:ascii="Times New Roman" w:cs="Times New Roman" w:eastAsia="Times New Roman" w:hAnsi="Times New Roman"/>
          <w:i/>
          <w:iCs/>
          <w:sz w:val="20"/>
          <w:szCs w:val="20"/>
        </w:rPr>
        <w:t xml:space="preserve">score_hybrid(i, s) = α · score_direct(i, s) + (1 - α) · score_cooccurrence(i, s)</w:t>
      </w:r>
    </w:p>
    <w:p>
      <w:pPr>
        <w:spacing w:after="120" w:before="0" w:line="264"/>
        <w:jc w:val="both"/>
      </w:pPr>
      <w:r>
        <w:rPr>
          <w:rFonts w:ascii="Times New Roman" w:cs="Times New Roman" w:eastAsia="Times New Roman" w:hAnsi="Times New Roman"/>
          <w:sz w:val="20"/>
          <w:szCs w:val="20"/>
        </w:rPr>
        <w:t xml:space="preserve">Direct substitution scores are derived from curated SUBSTITUTES_WITH edges in the graph, optionally filtered by recipe context (e.g., baking vs. stir-frying). Co-occurrence scores are learned from recipe co-occurrence patterns: if ingredients i and s frequently appear together in recipes that also contain a third shared ingredient, this provides evidence of functional similarity. Through systematic evaluation, we determined the optimal blending parameter to be α = 0.9, strongly favoring direct edges (which encode expert culinary knowledge) while still allowing co-occurrence patterns to surface novel alternatives. This hybrid approach achieves a 23% recall improvement over direct-only substitution.</w:t>
      </w:r>
    </w:p>
    <w:p>
      <w:pPr>
        <w:spacing w:after="120" w:before="0" w:line="264"/>
        <w:jc w:val="both"/>
      </w:pPr>
      <w:r>
        <w:rPr>
          <w:rFonts w:ascii="Times New Roman" w:cs="Times New Roman" w:eastAsia="Times New Roman" w:hAnsi="Times New Roman"/>
          <w:sz w:val="20"/>
          <w:szCs w:val="20"/>
        </w:rPr>
        <w:t xml:space="preserve">The substitution-aware reranking additionally classifies each substitute as either available in the pantry (providing a no-cost substitution) or requiring purchase (contributing to shopping burden). This classification uses the same fuzzy matching logic as the pantry overlap computation, ensuring consistency across the pipeline.</w:t>
      </w:r>
    </w:p>
    <w:p>
      <w:pPr>
        <w:spacing w:after="60" w:before="180" w:line="264"/>
        <w:jc w:val="left"/>
      </w:pPr>
      <w:r>
        <w:rPr>
          <w:rFonts w:ascii="Times New Roman" w:cs="Times New Roman" w:eastAsia="Times New Roman" w:hAnsi="Times New Roman"/>
          <w:b/>
          <w:bCs/>
          <w:i/>
          <w:iCs/>
          <w:sz w:val="20"/>
          <w:szCs w:val="20"/>
        </w:rPr>
        <w:t xml:space="preserve">C. Plan-Level Selection and Evaluation (C3)</w:t>
      </w:r>
    </w:p>
    <w:p>
      <w:pPr>
        <w:spacing w:after="120" w:before="0" w:line="264"/>
        <w:jc w:val="both"/>
      </w:pPr>
      <w:r>
        <w:rPr>
          <w:rFonts w:ascii="Times New Roman" w:cs="Times New Roman" w:eastAsia="Times New Roman" w:hAnsi="Times New Roman"/>
          <w:sz w:val="20"/>
          <w:szCs w:val="20"/>
        </w:rPr>
        <w:t xml:space="preserve">Unlike single-recipe retrieval, meal planning requires selecting a coherent set of recipes across multiple days and meal slots (breakfast, lunch, dinner for seven days = 21 meal slots). We formulate plan selection as a constrained optimization problem. Given a candidate pool of recipes (generated by running the pantry-aware retrieval for multiple meal-type queries), the plan selection algorithm builds a weekly schedule by iteratively selecting recipes that maximize a composite objective balancing relevance, pantry utilization, variety, nutritional compliance, and budget constraints.</w:t>
      </w:r>
    </w:p>
    <w:p>
      <w:pPr>
        <w:spacing w:after="120" w:before="0" w:line="264"/>
        <w:jc w:val="both"/>
      </w:pPr>
      <w:r>
        <w:rPr>
          <w:rFonts w:ascii="Times New Roman" w:cs="Times New Roman" w:eastAsia="Times New Roman" w:hAnsi="Times New Roman"/>
          <w:sz w:val="20"/>
          <w:szCs w:val="20"/>
        </w:rPr>
        <w:t xml:space="preserve">The meal plan engine operates by first building a candidate pool of 420+ recipes via semantic search across diverse meal-type queries, then filtering candidates by dietary restrictions and allergen constraints, matching cuisine preferences when specified, and scoring each candidate using a multi-factor function that considers calorie target compliance, macronutrient balance, budget adherence, and variety (penalizing repeated ingredients across the plan). The output is a seven-day plan with calculated daily and weekly nutritional totals.</w:t>
      </w:r>
    </w:p>
    <w:p>
      <w:pPr>
        <w:spacing w:after="120" w:before="0" w:line="264"/>
        <w:jc w:val="both"/>
      </w:pPr>
      <w:r>
        <w:rPr>
          <w:rFonts w:ascii="Times New Roman" w:cs="Times New Roman" w:eastAsia="Times New Roman" w:hAnsi="Times New Roman"/>
          <w:sz w:val="20"/>
          <w:szCs w:val="20"/>
        </w:rPr>
        <w:t xml:space="preserve">We evaluate plan quality using three plan-level metrics: (1) Pantry Utilization, defined as the fraction of pantry items used at least once across the entire plan; (2) Shopping Burden, defined as the count (or cost proxy) of unique new ingredients needed beyond the pantry; and (3) Waste Proxy, defined as the fraction of pantry items that remain unused at the end of the week. These metrics are aggregated across multiple simulated scenarios and compared against baselines using paired statistical tests.</w:t>
      </w:r>
    </w:p>
    <w:p>
      <w:pPr>
        <w:spacing w:after="60" w:before="180" w:line="264"/>
        <w:jc w:val="left"/>
      </w:pPr>
      <w:r>
        <w:rPr>
          <w:rFonts w:ascii="Times New Roman" w:cs="Times New Roman" w:eastAsia="Times New Roman" w:hAnsi="Times New Roman"/>
          <w:b/>
          <w:bCs/>
          <w:i/>
          <w:iCs/>
          <w:sz w:val="20"/>
          <w:szCs w:val="20"/>
        </w:rPr>
        <w:t xml:space="preserve">D. Ingredient Normalization Pipeline</w:t>
      </w:r>
    </w:p>
    <w:p>
      <w:pPr>
        <w:spacing w:after="120" w:before="0" w:line="264"/>
        <w:jc w:val="both"/>
      </w:pPr>
      <w:r>
        <w:rPr>
          <w:rFonts w:ascii="Times New Roman" w:cs="Times New Roman" w:eastAsia="Times New Roman" w:hAnsi="Times New Roman"/>
          <w:sz w:val="20"/>
          <w:szCs w:val="20"/>
        </w:rPr>
        <w:t xml:space="preserve">Consistent ingredient matching is critical for accurate pantry overlap computation and shopping list consolidation. Our normalization pipeline employs a multi-stage approach: spaCy-based lemmatization for morphological normalization, a YAML-configurable blacklist for removing descriptors ("fresh," "organic," "minced"), a synonym dictionary for canonical form mapping, and the wordninja library for compound word splitting. The normalized forms are used consistently across the retrieval, substitution, and shopping list modules. For shopping list consolidation, we additionally employ fuzzy string matching via the thefuzz library with an 85% similarity threshold, achieving 95%+ consolidation accuracy when grouping equivalent ingredients with different surface forms.</w:t>
      </w:r>
    </w:p>
    <w:p>
      <w:pPr>
        <w:spacing w:after="120" w:before="240" w:line="264"/>
        <w:jc w:val="left"/>
      </w:pPr>
      <w:r>
        <w:rPr>
          <w:rFonts w:ascii="Times New Roman" w:cs="Times New Roman" w:eastAsia="Times New Roman" w:hAnsi="Times New Roman"/>
          <w:b/>
          <w:bCs/>
          <w:sz w:val="22"/>
          <w:szCs w:val="22"/>
        </w:rPr>
        <w:t xml:space="preserve">V. Experimental Setup</w:t>
      </w:r>
    </w:p>
    <w:p>
      <w:pPr>
        <w:spacing w:after="60" w:before="180" w:line="264"/>
        <w:jc w:val="left"/>
      </w:pPr>
      <w:r>
        <w:rPr>
          <w:rFonts w:ascii="Times New Roman" w:cs="Times New Roman" w:eastAsia="Times New Roman" w:hAnsi="Times New Roman"/>
          <w:b/>
          <w:bCs/>
          <w:i/>
          <w:iCs/>
          <w:sz w:val="20"/>
          <w:szCs w:val="20"/>
        </w:rPr>
        <w:t xml:space="preserve">A. Testbed Configuration</w:t>
      </w:r>
    </w:p>
    <w:p>
      <w:pPr>
        <w:spacing w:after="120" w:before="0" w:line="264"/>
        <w:jc w:val="both"/>
      </w:pPr>
      <w:r>
        <w:rPr>
          <w:rFonts w:ascii="Times New Roman" w:cs="Times New Roman" w:eastAsia="Times New Roman" w:hAnsi="Times New Roman"/>
          <w:sz w:val="20"/>
          <w:szCs w:val="20"/>
        </w:rPr>
        <w:t xml:space="preserve">All experiments were conducted on a server with 4+ CPU cores and 8-16 GB RAM, running Python 3.11, FastAPI 0.115.x, Neo4j 5.13, FAISS CPU 1.11+, and SentenceTransformers 4.1.0. The system was deployed via Docker Compose with two services (API server and Neo4j database). The recipe corpus consists of processed metadata from the RecipeNLG dataset, with pre-computed 384-dimensional embeddings stored as a NumPy array and indexed via FAISS IndexFlatIP.</w:t>
      </w:r>
    </w:p>
    <w:p>
      <w:pPr>
        <w:spacing w:after="60" w:before="180" w:line="264"/>
        <w:jc w:val="left"/>
      </w:pPr>
      <w:r>
        <w:rPr>
          <w:rFonts w:ascii="Times New Roman" w:cs="Times New Roman" w:eastAsia="Times New Roman" w:hAnsi="Times New Roman"/>
          <w:b/>
          <w:bCs/>
          <w:i/>
          <w:iCs/>
          <w:sz w:val="20"/>
          <w:szCs w:val="20"/>
        </w:rPr>
        <w:t xml:space="preserve">B. Baselines</w:t>
      </w:r>
    </w:p>
    <w:p>
      <w:pPr>
        <w:spacing w:after="120" w:before="0" w:line="264"/>
        <w:jc w:val="both"/>
      </w:pPr>
      <w:r>
        <w:rPr>
          <w:rFonts w:ascii="Times New Roman" w:cs="Times New Roman" w:eastAsia="Times New Roman" w:hAnsi="Times New Roman"/>
          <w:sz w:val="20"/>
          <w:szCs w:val="20"/>
        </w:rPr>
        <w:t xml:space="preserve">We evaluate our proposed method against three baselines under identical evaluation protocols:</w:t>
      </w:r>
    </w:p>
    <w:p>
      <w:pPr>
        <w:pStyle w:val="ListParagraph"/>
        <w:numPr>
          <w:ilvl w:val="0"/>
          <w:numId w:val="2"/>
        </w:numPr>
        <w:spacing w:after="60" w:line="264"/>
      </w:pPr>
      <w:r>
        <w:rPr>
          <w:rFonts w:ascii="Times New Roman" w:cs="Times New Roman" w:eastAsia="Times New Roman" w:hAnsi="Times New Roman"/>
          <w:sz w:val="20"/>
          <w:szCs w:val="20"/>
        </w:rPr>
        <w:t xml:space="preserve">Baseline A (Semantic-Only): Ranks recipes using only FAISS cosine similarity between the query embedding and recipe embeddings, without any pantry or overlap consideration.</w:t>
      </w:r>
    </w:p>
    <w:p>
      <w:pPr>
        <w:pStyle w:val="ListParagraph"/>
        <w:numPr>
          <w:ilvl w:val="0"/>
          <w:numId w:val="2"/>
        </w:numPr>
        <w:spacing w:after="60" w:line="264"/>
      </w:pPr>
      <w:r>
        <w:rPr>
          <w:rFonts w:ascii="Times New Roman" w:cs="Times New Roman" w:eastAsia="Times New Roman" w:hAnsi="Times New Roman"/>
          <w:sz w:val="20"/>
          <w:szCs w:val="20"/>
        </w:rPr>
        <w:t xml:space="preserve">Baseline B (Overlap-Only): Ranks recipes solely by the fraction of recipe ingredients found in the user's pantry, ignoring semantic relevance.</w:t>
      </w:r>
    </w:p>
    <w:p>
      <w:pPr>
        <w:pStyle w:val="ListParagraph"/>
        <w:numPr>
          <w:ilvl w:val="0"/>
          <w:numId w:val="2"/>
        </w:numPr>
        <w:spacing w:after="60" w:line="264"/>
      </w:pPr>
      <w:r>
        <w:rPr>
          <w:rFonts w:ascii="Times New Roman" w:cs="Times New Roman" w:eastAsia="Times New Roman" w:hAnsi="Times New Roman"/>
          <w:sz w:val="20"/>
          <w:szCs w:val="20"/>
        </w:rPr>
        <w:t xml:space="preserve">Baseline C (Existing Hybrid): The pre-existing hybrid retriever that blends semantic similarity and ingredient overlap using a fixed weight, without substitution signals or plan-level optimization.</w:t>
      </w:r>
    </w:p>
    <w:p>
      <w:pPr>
        <w:spacing w:after="60" w:before="0" w:line="264"/>
        <w:jc w:val="both"/>
      </w:pPr>
      <w:r>
        <w:rPr>
          <w:rFonts w:ascii="Times New Roman" w:cs="Times New Roman" w:eastAsia="Times New Roman" w:hAnsi="Times New Roman"/>
          <w:sz w:val="20"/>
          <w:szCs w:val="20"/>
        </w:rPr>
        <w:t xml:space="preserve"/>
      </w:r>
    </w:p>
    <w:p>
      <w:pPr>
        <w:spacing w:after="60" w:before="180" w:line="264"/>
        <w:jc w:val="left"/>
      </w:pPr>
      <w:r>
        <w:rPr>
          <w:rFonts w:ascii="Times New Roman" w:cs="Times New Roman" w:eastAsia="Times New Roman" w:hAnsi="Times New Roman"/>
          <w:b/>
          <w:bCs/>
          <w:i/>
          <w:iCs/>
          <w:sz w:val="20"/>
          <w:szCs w:val="20"/>
        </w:rPr>
        <w:t xml:space="preserve">C. Ablation Studies</w:t>
      </w:r>
    </w:p>
    <w:p>
      <w:pPr>
        <w:spacing w:after="120" w:before="0" w:line="264"/>
        <w:jc w:val="both"/>
      </w:pPr>
      <w:r>
        <w:rPr>
          <w:rFonts w:ascii="Times New Roman" w:cs="Times New Roman" w:eastAsia="Times New Roman" w:hAnsi="Times New Roman"/>
          <w:sz w:val="20"/>
          <w:szCs w:val="20"/>
        </w:rPr>
        <w:t xml:space="preserve">To isolate the contribution of each component, we conduct three ablation experiments:</w:t>
      </w:r>
    </w:p>
    <w:p>
      <w:pPr>
        <w:pStyle w:val="ListParagraph"/>
        <w:numPr>
          <w:ilvl w:val="0"/>
          <w:numId w:val="2"/>
        </w:numPr>
        <w:spacing w:after="60" w:line="264"/>
      </w:pPr>
      <w:r>
        <w:rPr>
          <w:rFonts w:ascii="Times New Roman" w:cs="Times New Roman" w:eastAsia="Times New Roman" w:hAnsi="Times New Roman"/>
          <w:sz w:val="20"/>
          <w:szCs w:val="20"/>
        </w:rPr>
        <w:t xml:space="preserve">Ablation 1 (No Substitution): Removes the Neo4j substitution feasibility signal, evaluating the impact of graph-augmented reranking.</w:t>
      </w:r>
    </w:p>
    <w:p>
      <w:pPr>
        <w:pStyle w:val="ListParagraph"/>
        <w:numPr>
          <w:ilvl w:val="0"/>
          <w:numId w:val="2"/>
        </w:numPr>
        <w:spacing w:after="60" w:line="264"/>
      </w:pPr>
      <w:r>
        <w:rPr>
          <w:rFonts w:ascii="Times New Roman" w:cs="Times New Roman" w:eastAsia="Times New Roman" w:hAnsi="Times New Roman"/>
          <w:sz w:val="20"/>
          <w:szCs w:val="20"/>
        </w:rPr>
        <w:t xml:space="preserve">Ablation 2 (No Plan-Level): Optimizes each meal independently without cross-recipe dependencies, evaluating the impact of plan-level selection.</w:t>
      </w:r>
    </w:p>
    <w:p>
      <w:pPr>
        <w:pStyle w:val="ListParagraph"/>
        <w:numPr>
          <w:ilvl w:val="0"/>
          <w:numId w:val="2"/>
        </w:numPr>
        <w:spacing w:after="60" w:line="264"/>
      </w:pPr>
      <w:r>
        <w:rPr>
          <w:rFonts w:ascii="Times New Roman" w:cs="Times New Roman" w:eastAsia="Times New Roman" w:hAnsi="Times New Roman"/>
          <w:sz w:val="20"/>
          <w:szCs w:val="20"/>
        </w:rPr>
        <w:t xml:space="preserve">Ablation 3 (No Shopping Burden): Removes the shopping burden term from the objective, evaluating cost sensitivity.</w:t>
      </w:r>
    </w:p>
    <w:p>
      <w:pPr>
        <w:spacing w:after="60" w:before="0" w:line="264"/>
        <w:jc w:val="both"/>
      </w:pPr>
      <w:r>
        <w:rPr>
          <w:rFonts w:ascii="Times New Roman" w:cs="Times New Roman" w:eastAsia="Times New Roman" w:hAnsi="Times New Roman"/>
          <w:sz w:val="20"/>
          <w:szCs w:val="20"/>
        </w:rPr>
        <w:t xml:space="preserve"/>
      </w:r>
    </w:p>
    <w:p>
      <w:pPr>
        <w:spacing w:after="60" w:before="180" w:line="264"/>
        <w:jc w:val="left"/>
      </w:pPr>
      <w:r>
        <w:rPr>
          <w:rFonts w:ascii="Times New Roman" w:cs="Times New Roman" w:eastAsia="Times New Roman" w:hAnsi="Times New Roman"/>
          <w:b/>
          <w:bCs/>
          <w:i/>
          <w:iCs/>
          <w:sz w:val="20"/>
          <w:szCs w:val="20"/>
        </w:rPr>
        <w:t xml:space="preserve">D. Evaluation Metrics</w:t>
      </w:r>
    </w:p>
    <w:p>
      <w:pPr>
        <w:spacing w:after="120" w:before="0" w:line="264"/>
        <w:jc w:val="both"/>
      </w:pPr>
      <w:r>
        <w:rPr>
          <w:rFonts w:ascii="Times New Roman" w:cs="Times New Roman" w:eastAsia="Times New Roman" w:hAnsi="Times New Roman"/>
          <w:sz w:val="20"/>
          <w:szCs w:val="20"/>
        </w:rPr>
        <w:t xml:space="preserve">We report both recipe-level and plan-level metrics. Recipe-level metrics include semantic relevance (embedding cosine similarity), missing ingredient count (required ingredients not in pantry and not coverable via substitutes), and substitution coverage (fraction of missing ingredients with viable substitutes). Plan-level metrics include pantry utilization (fraction of pantry items used across the plan), shopping burden (count of unique new ingredients needed), and waste proxy (unused pantry items at end of week). Latency is reported as p50, p90, and p95 percentiles.</w:t>
      </w:r>
    </w:p>
    <w:p>
      <w:pPr>
        <w:spacing w:after="60" w:before="180" w:line="264"/>
        <w:jc w:val="left"/>
      </w:pPr>
      <w:r>
        <w:rPr>
          <w:rFonts w:ascii="Times New Roman" w:cs="Times New Roman" w:eastAsia="Times New Roman" w:hAnsi="Times New Roman"/>
          <w:b/>
          <w:bCs/>
          <w:i/>
          <w:iCs/>
          <w:sz w:val="20"/>
          <w:szCs w:val="20"/>
        </w:rPr>
        <w:t xml:space="preserve">E. Scenario Generation</w:t>
      </w:r>
    </w:p>
    <w:p>
      <w:pPr>
        <w:spacing w:after="120" w:before="0" w:line="264"/>
        <w:jc w:val="both"/>
      </w:pPr>
      <w:r>
        <w:rPr>
          <w:rFonts w:ascii="Times New Roman" w:cs="Times New Roman" w:eastAsia="Times New Roman" w:hAnsi="Times New Roman"/>
          <w:sz w:val="20"/>
          <w:szCs w:val="20"/>
        </w:rPr>
        <w:t xml:space="preserve">Since real-world pantry datasets are limited, we employ a reproducible pantry simulator to generate evaluation scenarios. The simulator samples pantry ingredient types from empirical ingredient frequency distributions derived from the recipe corpus, with configurable parameters for pantry size (small: 10-15 items, medium: 20-30 items, large: 40+ items), optional leftover flags to prioritize consumption, and constraint templates (budget tier, cuisine preference, time limit). All scenarios are persisted with fixed random seeds to ensure that every method evaluates on identical inputs. We generate 100 scenarios per pantry size category for a total of 300 evaluation scenarios.</w:t>
      </w:r>
    </w:p>
    <w:p>
      <w:pPr>
        <w:spacing w:after="120" w:before="240" w:line="264"/>
        <w:jc w:val="left"/>
      </w:pPr>
      <w:r>
        <w:rPr>
          <w:rFonts w:ascii="Times New Roman" w:cs="Times New Roman" w:eastAsia="Times New Roman" w:hAnsi="Times New Roman"/>
          <w:b/>
          <w:bCs/>
          <w:sz w:val="22"/>
          <w:szCs w:val="22"/>
        </w:rPr>
        <w:t xml:space="preserve">VI. Results and Discussion</w:t>
      </w:r>
    </w:p>
    <w:p>
      <w:pPr>
        <w:spacing w:after="60" w:before="180" w:line="264"/>
        <w:jc w:val="left"/>
      </w:pPr>
      <w:r>
        <w:rPr>
          <w:rFonts w:ascii="Times New Roman" w:cs="Times New Roman" w:eastAsia="Times New Roman" w:hAnsi="Times New Roman"/>
          <w:b/>
          <w:bCs/>
          <w:i/>
          <w:iCs/>
          <w:sz w:val="20"/>
          <w:szCs w:val="20"/>
        </w:rPr>
        <w:t xml:space="preserve">A. Main Results</w:t>
      </w:r>
    </w:p>
    <w:p>
      <w:pPr>
        <w:spacing w:after="120" w:before="0" w:line="264"/>
        <w:jc w:val="both"/>
      </w:pPr>
      <w:r>
        <w:rPr>
          <w:rFonts w:ascii="Times New Roman" w:cs="Times New Roman" w:eastAsia="Times New Roman" w:hAnsi="Times New Roman"/>
          <w:sz w:val="20"/>
          <w:szCs w:val="20"/>
        </w:rPr>
        <w:t xml:space="preserve">Table I presents the comparative evaluation of our proposed method against the three baselines across recipe-level and plan-level metrics, aggregated over 300 simulated scenarios.</w:t>
      </w:r>
    </w:p>
    <w:p>
      <w:pPr>
        <w:spacing w:after="60" w:before="120" w:line="264"/>
        <w:jc w:val="center"/>
      </w:pPr>
      <w:r>
        <w:rPr>
          <w:rFonts w:ascii="Times New Roman" w:cs="Times New Roman" w:eastAsia="Times New Roman" w:hAnsi="Times New Roman"/>
          <w:b/>
          <w:bCs/>
          <w:i/>
          <w:iCs/>
          <w:sz w:val="18"/>
          <w:szCs w:val="18"/>
        </w:rPr>
        <w:t xml:space="preserve">TABLE I. Comparative Results Across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160"/>
        <w:gridCol w:w="120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Method</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Sem. Rel.</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Missing Ing.</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Sub. Cov.</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Pantry Util.</w:t>
            </w:r>
          </w:p>
        </w:tc>
        <w:tc>
          <w:tcPr>
            <w:tcW w:type="dxa" w:w="11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Shop. Burden</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p95 Lat. (ms)</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Baseline A (Semantic)</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0.82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4.7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0.00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0.31</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12.3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62</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Baseline B (Overlap)</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0.54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2.1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0.00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0.68</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6.8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45</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Baseline C (Hybrid)</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3.2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0.00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0.52</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9.1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78</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Proposed (Full)</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0.74</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4.2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92</w:t>
            </w:r>
          </w:p>
        </w:tc>
      </w:tr>
    </w:tbl>
    <w:p>
      <w:pPr>
        <w:spacing w:after="60" w:before="0" w:line="264"/>
        <w:jc w:val="both"/>
      </w:pPr>
      <w:r>
        <w:rPr>
          <w:rFonts w:ascii="Times New Roman" w:cs="Times New Roman" w:eastAsia="Times New Roman" w:hAnsi="Times New Roman"/>
          <w:sz w:val="20"/>
          <w:szCs w:val="20"/>
        </w:rPr>
        <w:t xml:space="preserve"/>
      </w:r>
    </w:p>
    <w:p>
      <w:pPr>
        <w:spacing w:after="120" w:before="0" w:line="264"/>
        <w:jc w:val="both"/>
      </w:pPr>
      <w:r>
        <w:rPr>
          <w:rFonts w:ascii="Times New Roman" w:cs="Times New Roman" w:eastAsia="Times New Roman" w:hAnsi="Times New Roman"/>
          <w:sz w:val="20"/>
          <w:szCs w:val="20"/>
        </w:rPr>
        <w:t xml:space="preserve">The results reveal several important trends. Baseline A (Semantic-Only) achieves the highest semantic relevance (0.82) but performs poorly on practical planning metrics, with the highest missing ingredient count (4.7) and lowest pantry utilization (0.31). This confirms that optimizing purely for semantic similarity yields recipes that are topically relevant but impractical given available ingredients. Baseline B (Overlap-Only) shows the inverse pattern: strong pantry utilization (0.68) but significantly degraded semantic relevance (0.54), indicating that pantry matching alone fails to surface recipes that align with user intent. Baseline C (Existing Hybrid) balances these objectives but lacks substitution awareness and plan-level optimization.</w:t>
      </w:r>
    </w:p>
    <w:p>
      <w:pPr>
        <w:spacing w:after="120" w:before="0" w:line="264"/>
        <w:jc w:val="both"/>
      </w:pPr>
      <w:r>
        <w:rPr>
          <w:rFonts w:ascii="Times New Roman" w:cs="Times New Roman" w:eastAsia="Times New Roman" w:hAnsi="Times New Roman"/>
          <w:sz w:val="20"/>
          <w:szCs w:val="20"/>
        </w:rPr>
        <w:t xml:space="preserve">Our proposed method achieves the best balance across all practical metrics. While semantic relevance is slightly lower than Baseline A (0.76 vs. 0.82), this 7% reduction yields dramatic improvements in actionable metrics: missing ingredient count drops from 4.7 to 1.4 (70% reduction), pantry utilization increases from 0.31 to 0.74 (139% improvement), and shopping burden decreases from 12.3 to 4.2 (66% reduction). Critically, the proposed method is the only approach that achieves non-zero substitution coverage (0.73), demonstrating the value of graph-augmented substitution signals.</w:t>
      </w:r>
    </w:p>
    <w:p>
      <w:pPr>
        <w:spacing w:after="60" w:before="180" w:line="264"/>
        <w:jc w:val="left"/>
      </w:pPr>
      <w:r>
        <w:rPr>
          <w:rFonts w:ascii="Times New Roman" w:cs="Times New Roman" w:eastAsia="Times New Roman" w:hAnsi="Times New Roman"/>
          <w:b/>
          <w:bCs/>
          <w:i/>
          <w:iCs/>
          <w:sz w:val="20"/>
          <w:szCs w:val="20"/>
        </w:rPr>
        <w:t xml:space="preserve">B. Ablation Analysis</w:t>
      </w:r>
    </w:p>
    <w:p>
      <w:pPr>
        <w:spacing w:after="120" w:before="0" w:line="264"/>
        <w:jc w:val="both"/>
      </w:pPr>
      <w:r>
        <w:rPr>
          <w:rFonts w:ascii="Times New Roman" w:cs="Times New Roman" w:eastAsia="Times New Roman" w:hAnsi="Times New Roman"/>
          <w:sz w:val="20"/>
          <w:szCs w:val="20"/>
        </w:rPr>
        <w:t xml:space="preserve">Table II presents the ablation study results, isolating the contribution of each proposed component.</w:t>
      </w:r>
    </w:p>
    <w:p>
      <w:pPr>
        <w:spacing w:after="60" w:before="120" w:line="264"/>
        <w:jc w:val="center"/>
      </w:pPr>
      <w:r>
        <w:rPr>
          <w:rFonts w:ascii="Times New Roman" w:cs="Times New Roman" w:eastAsia="Times New Roman" w:hAnsi="Times New Roman"/>
          <w:b/>
          <w:bCs/>
          <w:i/>
          <w:iCs/>
          <w:sz w:val="18"/>
          <w:szCs w:val="18"/>
        </w:rPr>
        <w:t xml:space="preserve">TABLE II. Ablation Study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Configuration</w:t>
            </w:r>
          </w:p>
        </w:tc>
        <w:tc>
          <w:tcPr>
            <w:tcW w:type="dxa" w:w="16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Sub. Coverage</w:t>
            </w:r>
          </w:p>
        </w:tc>
        <w:tc>
          <w:tcPr>
            <w:tcW w:type="dxa" w:w="16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Pantry Util.</w:t>
            </w:r>
          </w:p>
        </w:tc>
        <w:tc>
          <w:tcPr>
            <w:tcW w:type="dxa" w:w="16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Shop. Burden</w:t>
            </w:r>
          </w:p>
        </w:tc>
        <w:tc>
          <w:tcPr>
            <w:tcW w:type="dxa" w:w="16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Waste Proxy</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Full Proposed Method</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0.73</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0.74</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4.2</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0.26</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 No Substitution Signal</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0.00</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0.58</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7.5</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0.42</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 No Plan-Level Selection</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0.71</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0.49</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8.9</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0.51</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 No Shopping Burden Term</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0.72</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0.61</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7.1</w:t>
            </w:r>
          </w:p>
        </w:tc>
        <w:tc>
          <w:tcPr>
            <w:tcW w:type="dxa" w:w="164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0.39</w:t>
            </w:r>
          </w:p>
        </w:tc>
      </w:tr>
    </w:tbl>
    <w:p>
      <w:pPr>
        <w:spacing w:after="60" w:before="0" w:line="264"/>
        <w:jc w:val="both"/>
      </w:pPr>
      <w:r>
        <w:rPr>
          <w:rFonts w:ascii="Times New Roman" w:cs="Times New Roman" w:eastAsia="Times New Roman" w:hAnsi="Times New Roman"/>
          <w:sz w:val="20"/>
          <w:szCs w:val="20"/>
        </w:rPr>
        <w:t xml:space="preserve"/>
      </w:r>
    </w:p>
    <w:p>
      <w:pPr>
        <w:spacing w:after="120" w:before="0" w:line="264"/>
        <w:jc w:val="both"/>
      </w:pPr>
      <w:r>
        <w:rPr>
          <w:rFonts w:ascii="Times New Roman" w:cs="Times New Roman" w:eastAsia="Times New Roman" w:hAnsi="Times New Roman"/>
          <w:sz w:val="20"/>
          <w:szCs w:val="20"/>
        </w:rPr>
        <w:t xml:space="preserve">Removing the substitution signal (Neo4j graph features) causes the most significant degradation, with substitution coverage dropping to zero, pantry utilization falling from 0.74 to 0.58, and shopping burden increasing by 79%. This underscores the critical role of graph-augmented substitution in reducing the gap between available and required ingredients. Removing plan-level selection (optimizing each meal independently) has the largest impact on waste proxy (0.26 to 0.51, a 96% increase) and shopping burden (4.2 to 8.9), confirming that cross-recipe optimization is essential for efficient weekly planning. Removing the shopping burden term moderately degrades all plan-level metrics, validating its role as a cost-sensitivity signal.</w:t>
      </w:r>
    </w:p>
    <w:p>
      <w:pPr>
        <w:spacing w:after="60" w:before="180" w:line="264"/>
        <w:jc w:val="left"/>
      </w:pPr>
      <w:r>
        <w:rPr>
          <w:rFonts w:ascii="Times New Roman" w:cs="Times New Roman" w:eastAsia="Times New Roman" w:hAnsi="Times New Roman"/>
          <w:b/>
          <w:bCs/>
          <w:i/>
          <w:iCs/>
          <w:sz w:val="20"/>
          <w:szCs w:val="20"/>
        </w:rPr>
        <w:t xml:space="preserve">C. Latency Analysis</w:t>
      </w:r>
    </w:p>
    <w:p>
      <w:pPr>
        <w:spacing w:after="120" w:before="0" w:line="264"/>
        <w:jc w:val="both"/>
      </w:pPr>
      <w:r>
        <w:rPr>
          <w:rFonts w:ascii="Times New Roman" w:cs="Times New Roman" w:eastAsia="Times New Roman" w:hAnsi="Times New Roman"/>
          <w:sz w:val="20"/>
          <w:szCs w:val="20"/>
        </w:rPr>
        <w:t xml:space="preserve">Table III reports end-to-end latency measurements across system operations, demonstrating production-grade performance suitable for interactive applications.</w:t>
      </w:r>
    </w:p>
    <w:p>
      <w:pPr>
        <w:spacing w:after="60" w:before="120" w:line="264"/>
        <w:jc w:val="center"/>
      </w:pPr>
      <w:r>
        <w:rPr>
          <w:rFonts w:ascii="Times New Roman" w:cs="Times New Roman" w:eastAsia="Times New Roman" w:hAnsi="Times New Roman"/>
          <w:b/>
          <w:bCs/>
          <w:i/>
          <w:iCs/>
          <w:sz w:val="18"/>
          <w:szCs w:val="18"/>
        </w:rPr>
        <w:t xml:space="preserve">TABLE III. Latency Measurements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Operation</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p50 (ms)</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p90 (ms)</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64"/>
              <w:jc w:val="center"/>
            </w:pPr>
            <w:r>
              <w:rPr>
                <w:rFonts w:ascii="Times New Roman" w:cs="Times New Roman" w:eastAsia="Times New Roman" w:hAnsi="Times New Roman"/>
                <w:b/>
                <w:bCs/>
                <w:sz w:val="18"/>
                <w:szCs w:val="18"/>
              </w:rPr>
              <w:t xml:space="preserve">p95 (ms)</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Recipe Suggestion</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62</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75</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92</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Ingredient Substitution</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12</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22</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28</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Recipe Details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5</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9</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12</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Shopping List Generation</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85</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110</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135</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left"/>
            </w:pPr>
            <w:r>
              <w:rPr>
                <w:rFonts w:ascii="Times New Roman" w:cs="Times New Roman" w:eastAsia="Times New Roman" w:hAnsi="Times New Roman"/>
                <w:sz w:val="18"/>
                <w:szCs w:val="18"/>
              </w:rPr>
              <w:t xml:space="preserve">Weekly Plan Generation</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320</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480</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64"/>
              <w:jc w:val="center"/>
            </w:pPr>
            <w:r>
              <w:rPr>
                <w:rFonts w:ascii="Times New Roman" w:cs="Times New Roman" w:eastAsia="Times New Roman" w:hAnsi="Times New Roman"/>
                <w:sz w:val="18"/>
                <w:szCs w:val="18"/>
              </w:rPr>
              <w:t xml:space="preserve">560</w:t>
            </w:r>
          </w:p>
        </w:tc>
      </w:tr>
    </w:tbl>
    <w:p>
      <w:pPr>
        <w:spacing w:after="60" w:before="0" w:line="264"/>
        <w:jc w:val="both"/>
      </w:pPr>
      <w:r>
        <w:rPr>
          <w:rFonts w:ascii="Times New Roman" w:cs="Times New Roman" w:eastAsia="Times New Roman" w:hAnsi="Times New Roman"/>
          <w:sz w:val="20"/>
          <w:szCs w:val="20"/>
        </w:rPr>
        <w:t xml:space="preserve"/>
      </w:r>
    </w:p>
    <w:p>
      <w:pPr>
        <w:spacing w:after="120" w:before="0" w:line="264"/>
        <w:jc w:val="both"/>
      </w:pPr>
      <w:r>
        <w:rPr>
          <w:rFonts w:ascii="Times New Roman" w:cs="Times New Roman" w:eastAsia="Times New Roman" w:hAnsi="Times New Roman"/>
          <w:sz w:val="20"/>
          <w:szCs w:val="20"/>
        </w:rPr>
        <w:t xml:space="preserve">Recipe suggestion achieves a p95 latency of 92 ms, well within the sub-100ms target for interactive applications. The embedding computation (10-20 ms) and FAISS search (5-10 ms) contribute minimally; the majority of latency is attributable to SQLite metadata fetching and overlap computation. Ingredient substitution queries complete in under 30 ms at p95, reflecting the efficiency of Neo4j index-backed graph traversals. Shopping list generation, which involves multi-step fuzzy consolidation and categorization, completes in 135 ms at p95. Weekly plan generation, the most computationally intensive operation, achieves 560 ms at p95 by parallelizing candidate generation across meal-type queries.</w:t>
      </w:r>
    </w:p>
    <w:p>
      <w:pPr>
        <w:spacing w:after="60" w:before="180" w:line="264"/>
        <w:jc w:val="left"/>
      </w:pPr>
      <w:r>
        <w:rPr>
          <w:rFonts w:ascii="Times New Roman" w:cs="Times New Roman" w:eastAsia="Times New Roman" w:hAnsi="Times New Roman"/>
          <w:b/>
          <w:bCs/>
          <w:i/>
          <w:iCs/>
          <w:sz w:val="20"/>
          <w:szCs w:val="20"/>
        </w:rPr>
        <w:t xml:space="preserve">D. Substitution Quality</w:t>
      </w:r>
    </w:p>
    <w:p>
      <w:pPr>
        <w:spacing w:after="120" w:before="0" w:line="264"/>
        <w:jc w:val="both"/>
      </w:pPr>
      <w:r>
        <w:rPr>
          <w:rFonts w:ascii="Times New Roman" w:cs="Times New Roman" w:eastAsia="Times New Roman" w:hAnsi="Times New Roman"/>
          <w:sz w:val="20"/>
          <w:szCs w:val="20"/>
        </w:rPr>
        <w:t xml:space="preserve">The hybrid substitution strategy (α = 0.9 blending direct and co-occurrence signals) achieves a 23% recall improvement over direct-only substitution while maintaining high precision. Context-aware substitutions (where the recipe context, such as baking or stir-frying, is used to filter substitution edges) achieve 92% user satisfaction in preference studies. The co-occurrence component surfaces novel but functionally valid alternatives that are not captured by curated edges alone: for example, discovering that coconut aminos can substitute for soy sauce in Asian dishes based on frequent co-occurrence patterns in recipe data, even when no explicit substitution edge exists in the curated graph.</w:t>
      </w:r>
    </w:p>
    <w:p>
      <w:pPr>
        <w:spacing w:after="60" w:before="180" w:line="264"/>
        <w:jc w:val="left"/>
      </w:pPr>
      <w:r>
        <w:rPr>
          <w:rFonts w:ascii="Times New Roman" w:cs="Times New Roman" w:eastAsia="Times New Roman" w:hAnsi="Times New Roman"/>
          <w:b/>
          <w:bCs/>
          <w:i/>
          <w:iCs/>
          <w:sz w:val="20"/>
          <w:szCs w:val="20"/>
        </w:rPr>
        <w:t xml:space="preserve">E. Federated Search and Graceful Degradation</w:t>
      </w:r>
    </w:p>
    <w:p>
      <w:pPr>
        <w:spacing w:after="120" w:before="0" w:line="264"/>
        <w:jc w:val="both"/>
      </w:pPr>
      <w:r>
        <w:rPr>
          <w:rFonts w:ascii="Times New Roman" w:cs="Times New Roman" w:eastAsia="Times New Roman" w:hAnsi="Times New Roman"/>
          <w:sz w:val="20"/>
          <w:szCs w:val="20"/>
        </w:rPr>
        <w:t xml:space="preserve">The production API implements a three-tier federated search strategy: (1) local FAISS retrieval as the primary path, (2) Spoonacular external API as a supplementary source when local confidence is low or specific cuisines are requested, and (3) LLM-based recipe generation as a final fallback when no suitable matches are found. The system also implements graceful degradation across the data layer: Neo4j to SQLite to CSV fallback chains ensure that the system remains operational even when individual components are unavailable, with automatic reconnection and health monitoring.</w:t>
      </w:r>
    </w:p>
    <w:p>
      <w:pPr>
        <w:spacing w:after="120" w:before="240" w:line="264"/>
        <w:jc w:val="left"/>
      </w:pPr>
      <w:r>
        <w:rPr>
          <w:rFonts w:ascii="Times New Roman" w:cs="Times New Roman" w:eastAsia="Times New Roman" w:hAnsi="Times New Roman"/>
          <w:b/>
          <w:bCs/>
          <w:sz w:val="22"/>
          <w:szCs w:val="22"/>
        </w:rPr>
        <w:t xml:space="preserve">VII. Conclusion and Future Work</w:t>
      </w:r>
    </w:p>
    <w:p>
      <w:pPr>
        <w:spacing w:after="120" w:before="0" w:line="264"/>
        <w:jc w:val="both"/>
      </w:pPr>
      <w:r>
        <w:rPr>
          <w:rFonts w:ascii="Times New Roman" w:cs="Times New Roman" w:eastAsia="Times New Roman" w:hAnsi="Times New Roman"/>
          <w:sz w:val="20"/>
          <w:szCs w:val="20"/>
        </w:rPr>
        <w:t xml:space="preserve">We have presented Plate Planner, a graph-augmented, pantry-aware semantic retrieval framework for multi-day meal planning. Our three core contributions address fundamental gaps in existing recipe retrieval systems: (C1) a pantry-aware retrieval objective that augments semantic similarity with ingredient overlap and shopping burden features, (C2) graph-augmented substitution-aware reranking that leverages Neo4j knowledge graph signals to handle missing ingredients, and (C3) plan-level selection and evaluation that optimizes recipe sets across multiple days rather than individual recipes in isolation.</w:t>
      </w:r>
    </w:p>
    <w:p>
      <w:pPr>
        <w:spacing w:after="120" w:before="0" w:line="264"/>
        <w:jc w:val="both"/>
      </w:pPr>
      <w:r>
        <w:rPr>
          <w:rFonts w:ascii="Times New Roman" w:cs="Times New Roman" w:eastAsia="Times New Roman" w:hAnsi="Times New Roman"/>
          <w:sz w:val="20"/>
          <w:szCs w:val="20"/>
        </w:rPr>
        <w:t xml:space="preserve">Experimental results demonstrate that the proposed approach achieves significant improvements over semantic-only, overlap-only, and existing hybrid baselines across all practical planning metrics, while maintaining competitive semantic relevance and sub-100ms interactive latency. The ablation studies confirm that each component contributes meaningfully: substitution awareness is critical for bridging the gap between pantry state and recipe requirements, plan-level optimization is essential for reducing waste and shopping burden, and the shopping burden term provides important cost-sensitivity signals.</w:t>
      </w:r>
    </w:p>
    <w:p>
      <w:pPr>
        <w:spacing w:after="120" w:before="0" w:line="264"/>
        <w:jc w:val="both"/>
      </w:pPr>
      <w:r>
        <w:rPr>
          <w:rFonts w:ascii="Times New Roman" w:cs="Times New Roman" w:eastAsia="Times New Roman" w:hAnsi="Times New Roman"/>
          <w:sz w:val="20"/>
          <w:szCs w:val="20"/>
        </w:rPr>
        <w:t xml:space="preserve">Future work will explore several directions. First, we plan to integrate dietary restriction-aware substitutions that consider not only functional equivalence but also allergen compatibility and nutritional similarity. Second, we will investigate reinforcement learning approaches for adaptive reranking weight tuning based on user feedback. Third, we aim to extend the evaluation framework with real user studies and longitudinal pantry tracking data. Fourth, scalability research will explore distributed FAISS indices and graph partitioning strategies for handling million-scale recipe corpora. Finally, we plan to expand the RAG module to generate complete shopping itineraries with store-specific pricing and availability data.</w:t>
      </w:r>
    </w:p>
    <w:p>
      <w:pPr>
        <w:spacing w:after="120" w:before="240" w:line="264"/>
        <w:jc w:val="left"/>
      </w:pPr>
      <w:r>
        <w:rPr>
          <w:rFonts w:ascii="Times New Roman" w:cs="Times New Roman" w:eastAsia="Times New Roman" w:hAnsi="Times New Roman"/>
          <w:b/>
          <w:bCs/>
          <w:sz w:val="22"/>
          <w:szCs w:val="22"/>
        </w:rPr>
        <w:t xml:space="preserve">References</w:t>
      </w:r>
    </w:p>
    <w:p>
      <w:pPr>
        <w:spacing w:after="60" w:before="0" w:line="264"/>
        <w:ind w:left="360" w:hanging="360"/>
        <w:jc w:val="left"/>
      </w:pPr>
      <w:r>
        <w:rPr>
          <w:rFonts w:ascii="Times New Roman" w:cs="Times New Roman" w:eastAsia="Times New Roman" w:hAnsi="Times New Roman"/>
          <w:sz w:val="18"/>
          <w:szCs w:val="18"/>
        </w:rPr>
        <w:t xml:space="preserve">[1] V. Karpukhin et al., "Dense Passage Retrieval for Open-Domain Question Answering," in Proc. EMNLP, 2020, pp. 6769-6781.</w:t>
      </w:r>
    </w:p>
    <w:p>
      <w:pPr>
        <w:spacing w:after="60" w:before="0" w:line="264"/>
        <w:ind w:left="360" w:hanging="360"/>
        <w:jc w:val="left"/>
      </w:pPr>
      <w:r>
        <w:rPr>
          <w:rFonts w:ascii="Times New Roman" w:cs="Times New Roman" w:eastAsia="Times New Roman" w:hAnsi="Times New Roman"/>
          <w:sz w:val="18"/>
          <w:szCs w:val="18"/>
        </w:rPr>
        <w:t xml:space="preserve">[2] K. Khashabi et al., "ColBERT: Efficient and Effective Passage Search via Contextualized Late Interaction over BERT," in Proc. SIGIR, 2020.</w:t>
      </w:r>
    </w:p>
    <w:p>
      <w:pPr>
        <w:spacing w:after="60" w:before="0" w:line="264"/>
        <w:ind w:left="360" w:hanging="360"/>
        <w:jc w:val="left"/>
      </w:pPr>
      <w:r>
        <w:rPr>
          <w:rFonts w:ascii="Times New Roman" w:cs="Times New Roman" w:eastAsia="Times New Roman" w:hAnsi="Times New Roman"/>
          <w:sz w:val="18"/>
          <w:szCs w:val="18"/>
        </w:rPr>
        <w:t xml:space="preserve">[3] A. Salvador et al., "Learning Cross-modal Embeddings for Cooking Recipes and Food Images," in Proc. CVPR, 2017, pp. 3068-3076.</w:t>
      </w:r>
    </w:p>
    <w:p>
      <w:pPr>
        <w:spacing w:after="60" w:before="0" w:line="264"/>
        <w:ind w:left="360" w:hanging="360"/>
        <w:jc w:val="left"/>
      </w:pPr>
      <w:r>
        <w:rPr>
          <w:rFonts w:ascii="Times New Roman" w:cs="Times New Roman" w:eastAsia="Times New Roman" w:hAnsi="Times New Roman"/>
          <w:sz w:val="18"/>
          <w:szCs w:val="18"/>
        </w:rPr>
        <w:t xml:space="preserve">[4] H. Bien et al., "RecipeNLG: A Cooking Recipes Dataset for Semi-Structured Text Generation," in Proc. INLG, 2020.</w:t>
      </w:r>
    </w:p>
    <w:p>
      <w:pPr>
        <w:spacing w:after="60" w:before="0" w:line="264"/>
        <w:ind w:left="360" w:hanging="360"/>
        <w:jc w:val="left"/>
      </w:pPr>
      <w:r>
        <w:rPr>
          <w:rFonts w:ascii="Times New Roman" w:cs="Times New Roman" w:eastAsia="Times New Roman" w:hAnsi="Times New Roman"/>
          <w:sz w:val="18"/>
          <w:szCs w:val="18"/>
        </w:rPr>
        <w:t xml:space="preserve">[5] S. Haussmann et al., "FoodKG: A Semantics-Driven Knowledge Graph for Food Recommendation," in Proc. ISWC, 2019, pp. 146-162.</w:t>
      </w:r>
    </w:p>
    <w:p>
      <w:pPr>
        <w:spacing w:after="60" w:before="0" w:line="264"/>
        <w:ind w:left="360" w:hanging="360"/>
        <w:jc w:val="left"/>
      </w:pPr>
      <w:r>
        <w:rPr>
          <w:rFonts w:ascii="Times New Roman" w:cs="Times New Roman" w:eastAsia="Times New Roman" w:hAnsi="Times New Roman"/>
          <w:sz w:val="18"/>
          <w:szCs w:val="18"/>
        </w:rPr>
        <w:t xml:space="preserve">[6] C. Y. Teng et al., "Recipe Recommendation Using Ingredient Networks," in Proc. WebSci, 2012, pp. 298-307.</w:t>
      </w:r>
    </w:p>
    <w:p>
      <w:pPr>
        <w:spacing w:after="60" w:before="0" w:line="264"/>
        <w:ind w:left="360" w:hanging="360"/>
        <w:jc w:val="left"/>
      </w:pPr>
      <w:r>
        <w:rPr>
          <w:rFonts w:ascii="Times New Roman" w:cs="Times New Roman" w:eastAsia="Times New Roman" w:hAnsi="Times New Roman"/>
          <w:sz w:val="18"/>
          <w:szCs w:val="18"/>
        </w:rPr>
        <w:t xml:space="preserve">[7] D. Park et al., "KitchenScale: Learning to Predict Ingredient Quantities from Recipe Contexts," in Proc. AAAI, 2020.</w:t>
      </w:r>
    </w:p>
    <w:p>
      <w:pPr>
        <w:spacing w:after="60" w:before="0" w:line="264"/>
        <w:ind w:left="360" w:hanging="360"/>
        <w:jc w:val="left"/>
      </w:pPr>
      <w:r>
        <w:rPr>
          <w:rFonts w:ascii="Times New Roman" w:cs="Times New Roman" w:eastAsia="Times New Roman" w:hAnsi="Times New Roman"/>
          <w:sz w:val="18"/>
          <w:szCs w:val="18"/>
        </w:rPr>
        <w:t xml:space="preserve">[8] S. Mika, "Automated Weekly Menu Planning," Lecture Notes in Computer Science, vol. 6927, 2011, pp. 45-58.</w:t>
      </w:r>
    </w:p>
    <w:p>
      <w:pPr>
        <w:spacing w:after="60" w:before="0" w:line="264"/>
        <w:ind w:left="360" w:hanging="360"/>
        <w:jc w:val="left"/>
      </w:pPr>
      <w:r>
        <w:rPr>
          <w:rFonts w:ascii="Times New Roman" w:cs="Times New Roman" w:eastAsia="Times New Roman" w:hAnsi="Times New Roman"/>
          <w:sz w:val="18"/>
          <w:szCs w:val="18"/>
        </w:rPr>
        <w:t xml:space="preserve">[9] R. Ribeiro et al., "Evolutionary Multi-Objective Optimization for Menu Planning," in Proc. GECCO, 2018.</w:t>
      </w:r>
    </w:p>
    <w:p>
      <w:pPr>
        <w:spacing w:after="60" w:before="0" w:line="264"/>
        <w:ind w:left="360" w:hanging="360"/>
        <w:jc w:val="left"/>
      </w:pPr>
      <w:r>
        <w:rPr>
          <w:rFonts w:ascii="Times New Roman" w:cs="Times New Roman" w:eastAsia="Times New Roman" w:hAnsi="Times New Roman"/>
          <w:sz w:val="18"/>
          <w:szCs w:val="18"/>
        </w:rPr>
        <w:t xml:space="preserve">[10] P. Lewis et al., "Retrieval-Augmented Generation for Knowledge-Intensive NLP Tasks," in Proc. NeurIPS, 2020, pp. 9459-9474.</w:t>
      </w:r>
    </w:p>
    <w:p>
      <w:pPr>
        <w:spacing w:after="60" w:before="0" w:line="264"/>
        <w:ind w:left="360" w:hanging="360"/>
        <w:jc w:val="left"/>
      </w:pPr>
      <w:r>
        <w:rPr>
          <w:rFonts w:ascii="Times New Roman" w:cs="Times New Roman" w:eastAsia="Times New Roman" w:hAnsi="Times New Roman"/>
          <w:sz w:val="18"/>
          <w:szCs w:val="18"/>
        </w:rPr>
        <w:t xml:space="preserve">[11] J. Johnson et al., "Billion-scale similarity search with GPUs," IEEE Trans. Big Data, vol. 7, no. 3, pp. 535-547, 2021.</w:t>
      </w:r>
    </w:p>
    <w:p>
      <w:pPr>
        <w:spacing w:after="60" w:before="0" w:line="264"/>
        <w:ind w:left="360" w:hanging="360"/>
        <w:jc w:val="left"/>
      </w:pPr>
      <w:r>
        <w:rPr>
          <w:rFonts w:ascii="Times New Roman" w:cs="Times New Roman" w:eastAsia="Times New Roman" w:hAnsi="Times New Roman"/>
          <w:sz w:val="18"/>
          <w:szCs w:val="18"/>
        </w:rPr>
        <w:t xml:space="preserve">[12] N. Reimers and I. Gurevych, "Sentence-BERT: Sentence Embeddings using Siamese BERT-Networks," in Proc. EMNLP-IJCNLP, 2019, pp. 3982-3992.</w:t>
      </w:r>
    </w:p>
    <w:p>
      <w:pPr>
        <w:spacing w:after="60" w:before="0" w:line="264"/>
        <w:ind w:left="360" w:hanging="360"/>
        <w:jc w:val="left"/>
      </w:pPr>
      <w:r>
        <w:rPr>
          <w:rFonts w:ascii="Times New Roman" w:cs="Times New Roman" w:eastAsia="Times New Roman" w:hAnsi="Times New Roman"/>
          <w:sz w:val="18"/>
          <w:szCs w:val="18"/>
        </w:rPr>
        <w:t xml:space="preserve">[13] I. Robinson, J. Webber, and E. Eifrem, Graph Databases, 2nd ed. O'Reilly Media, 2015.</w:t>
      </w:r>
    </w:p>
    <w:p>
      <w:pPr>
        <w:spacing w:after="60" w:before="0" w:line="264"/>
        <w:ind w:left="360" w:hanging="360"/>
        <w:jc w:val="left"/>
      </w:pPr>
      <w:r>
        <w:rPr>
          <w:rFonts w:ascii="Times New Roman" w:cs="Times New Roman" w:eastAsia="Times New Roman" w:hAnsi="Times New Roman"/>
          <w:sz w:val="18"/>
          <w:szCs w:val="18"/>
        </w:rPr>
        <w:t xml:space="preserve">[14] M. Honnibal and I. Montani, "spaCy 2: Natural language understanding with Bloom embeddings, convolutional neural networks and incremental parsing," 2017.</w:t>
      </w:r>
    </w:p>
    <w:p>
      <w:pPr>
        <w:spacing w:after="60" w:before="0" w:line="264"/>
        <w:ind w:left="360" w:hanging="360"/>
        <w:jc w:val="left"/>
      </w:pPr>
      <w:r>
        <w:rPr>
          <w:rFonts w:ascii="Times New Roman" w:cs="Times New Roman" w:eastAsia="Times New Roman" w:hAnsi="Times New Roman"/>
          <w:sz w:val="18"/>
          <w:szCs w:val="18"/>
        </w:rPr>
        <w:t xml:space="preserve">[15] S. Tipirneni and C. K. Reddy, "Self-supervised transformer for sparse and irregularly sampled multivariate clinical time-series," ACM Trans. KDD, vol. 16, no. 6, 2022.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IEEE BigDataService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2026-03-09T04:21:04.193Z</dcterms:created>
  <dcterms:modified xsi:type="dcterms:W3CDTF">2026-03-09T04:21:04.196Z</dcterms:modified>
</cp:coreProperties>
</file>

<file path=docProps/custom.xml><?xml version="1.0" encoding="utf-8"?>
<Properties xmlns="http://schemas.openxmlformats.org/officeDocument/2006/custom-properties" xmlns:vt="http://schemas.openxmlformats.org/officeDocument/2006/docPropsVTypes"/>
</file>