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RetailVista Agentic Platform</w:t>
      </w:r>
    </w:p>
    <w:p w:rsidR="00000000" w:rsidDel="00000000" w:rsidP="00000000" w:rsidRDefault="00000000" w:rsidRPr="00000000" w14:paraId="00000002">
      <w:pPr>
        <w:jc w:val="center"/>
        <w:rPr/>
      </w:pPr>
      <w:r w:rsidDel="00000000" w:rsidR="00000000" w:rsidRPr="00000000">
        <w:rPr>
          <w:color w:val="666666"/>
          <w:sz w:val="28"/>
          <w:szCs w:val="28"/>
          <w:rtl w:val="0"/>
        </w:rPr>
        <w:t xml:space="preserve">Implementation Summary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Architecture</w:t>
      </w:r>
    </w:p>
    <w:p w:rsidR="00000000" w:rsidDel="00000000" w:rsidP="00000000" w:rsidRDefault="00000000" w:rsidRPr="00000000" w14:paraId="00000005">
      <w:pPr>
        <w:rPr/>
      </w:pPr>
      <w:r w:rsidDel="00000000" w:rsidR="00000000" w:rsidRPr="00000000">
        <w:rPr>
          <w:rtl w:val="0"/>
        </w:rPr>
        <w:t xml:space="preserve">RetailVista is a two-tier AI system: a FastAPI + Google ADK backend streaming to a React + CopilotKit frontend via AG-UI v2 protocol (SSE). A root orchestrator (Gemini 2.5 Pro) routes queries to 4 specialist sub-agents — Location, Catchment, Intelligence, and Strategic — each with dedicated tools that hit BigQuery (61 tables), Google Maps APIs, and H3 hex grids.</w:t>
      </w:r>
    </w:p>
    <w:p w:rsidR="00000000" w:rsidDel="00000000" w:rsidP="00000000" w:rsidRDefault="00000000" w:rsidRPr="00000000" w14:paraId="00000006">
      <w:pPr>
        <w:rPr/>
      </w:pPr>
      <w:r w:rsidDel="00000000" w:rsidR="00000000" w:rsidRPr="00000000">
        <w:rPr>
          <w:rtl w:val="0"/>
        </w:rPr>
        <w:t xml:space="preserve">The platform is composed of two backend services operating as a unified ecosystem. The core backend provides foundational spatial analysis primitives — radius/polygon-based BigQuery queries, H3 hex heatmaps, Google Places competitor discovery, travel-time-to-radius conversion via Routes API, and its own agent orchestration (Catchment, Competitor, Feasibility, General) with ModelArmor security guards and Cloud SQL session persistence. The agentic layer builds on top of these primitives, adding the Opportunity Engine, multi-agent workspace, and the Explorer experience. Together, they form a single platform — the core backend handles heavy spatial computation and data access, while the agentic layer orchestrates AI-driven workflows and user-facing intelligence.</w:t>
      </w:r>
    </w:p>
    <w:p w:rsidR="00000000" w:rsidDel="00000000" w:rsidP="00000000" w:rsidRDefault="00000000" w:rsidRPr="00000000" w14:paraId="00000007">
      <w:pPr>
        <w:pStyle w:val="Heading1"/>
        <w:rPr/>
      </w:pPr>
      <w:r w:rsidDel="00000000" w:rsidR="00000000" w:rsidRPr="00000000">
        <w:rPr>
          <w:rtl w:val="0"/>
        </w:rPr>
        <w:t xml:space="preserve">Opportunity Engine</w:t>
      </w:r>
    </w:p>
    <w:p w:rsidR="00000000" w:rsidDel="00000000" w:rsidP="00000000" w:rsidRDefault="00000000" w:rsidRPr="00000000" w14:paraId="00000008">
      <w:pPr>
        <w:rPr/>
      </w:pPr>
      <w:r w:rsidDel="00000000" w:rsidR="00000000" w:rsidRPr="00000000">
        <w:rPr>
          <w:rtl w:val="0"/>
        </w:rPr>
        <w:t xml:space="preserve">A 4-stage autonomous pipeline that identifies where Reliance should open next:</w:t>
      </w:r>
    </w:p>
    <w:p w:rsidR="00000000" w:rsidDel="00000000" w:rsidP="00000000" w:rsidRDefault="00000000" w:rsidRPr="00000000" w14:paraId="00000009">
      <w:pPr>
        <w:rPr/>
      </w:pPr>
      <w:r w:rsidDel="00000000" w:rsidR="00000000" w:rsidRPr="00000000">
        <w:rPr>
          <w:b w:val="1"/>
          <w:bCs w:val="1"/>
          <w:rtl w:val="0"/>
        </w:rPr>
        <w:t xml:space="preserve">1. Candidate Generation — </w:t>
      </w:r>
      <w:r w:rsidDel="00000000" w:rsidR="00000000" w:rsidRPr="00000000">
        <w:rPr>
          <w:rtl w:val="0"/>
        </w:rPr>
        <w:t xml:space="preserve">Seeds locations from competitor ring expansion, whitespace detection, population density hotspots, city-level seeding, and property leads.</w:t>
      </w:r>
    </w:p>
    <w:p w:rsidR="00000000" w:rsidDel="00000000" w:rsidP="00000000" w:rsidRDefault="00000000" w:rsidRPr="00000000" w14:paraId="0000000A">
      <w:pPr>
        <w:rPr/>
      </w:pPr>
      <w:r w:rsidDel="00000000" w:rsidR="00000000" w:rsidRPr="00000000">
        <w:rPr>
          <w:b w:val="1"/>
          <w:bCs w:val="1"/>
          <w:rtl w:val="0"/>
        </w:rPr>
        <w:t xml:space="preserve">2. Whitespace Filtering — </w:t>
      </w:r>
      <w:r w:rsidDel="00000000" w:rsidR="00000000" w:rsidRPr="00000000">
        <w:rPr>
          <w:rtl w:val="0"/>
        </w:rPr>
        <w:t xml:space="preserve">BigQuery spatial queries isolate top-20% demand areas with no existing coverage.</w:t>
      </w:r>
    </w:p>
    <w:p w:rsidR="00000000" w:rsidDel="00000000" w:rsidP="00000000" w:rsidRDefault="00000000" w:rsidRPr="00000000" w14:paraId="0000000B">
      <w:pPr>
        <w:rPr/>
      </w:pPr>
      <w:r w:rsidDel="00000000" w:rsidR="00000000" w:rsidRPr="00000000">
        <w:rPr>
          <w:b w:val="1"/>
          <w:bCs w:val="1"/>
          <w:rtl w:val="0"/>
        </w:rPr>
        <w:t xml:space="preserve">3. LI Scoring — </w:t>
      </w:r>
      <w:r w:rsidDel="00000000" w:rsidR="00000000" w:rsidRPr="00000000">
        <w:rPr>
          <w:rtl w:val="0"/>
        </w:rPr>
        <w:t xml:space="preserve">Each candidate gets a 10-dimension score: Wealth Index, Building Density, Demographics, District GDP, Spending Power, Footfall Potential, Competitive Intensity, Accessibility, Property Rates, and JioMart Order Density.</w:t>
      </w:r>
    </w:p>
    <w:p w:rsidR="00000000" w:rsidDel="00000000" w:rsidP="00000000" w:rsidRDefault="00000000" w:rsidRPr="00000000" w14:paraId="0000000C">
      <w:pPr>
        <w:rPr/>
      </w:pPr>
      <w:r w:rsidDel="00000000" w:rsidR="00000000" w:rsidRPr="00000000">
        <w:rPr>
          <w:b w:val="1"/>
          <w:bCs w:val="1"/>
          <w:rtl w:val="0"/>
        </w:rPr>
        <w:t xml:space="preserve">4. Site Scoring — </w:t>
      </w:r>
      <w:r w:rsidDel="00000000" w:rsidR="00000000" w:rsidRPr="00000000">
        <w:rPr>
          <w:rtl w:val="0"/>
        </w:rPr>
        <w:t xml:space="preserve">Composite score with vertical-specific weights (e.g., Quick Commerce emphasises demand + order data; Fashion emphasises footfall + complementary retail). Geographic diversity capping prevents cluster-heavy recommendations.</w:t>
      </w:r>
    </w:p>
    <w:p w:rsidR="00000000" w:rsidDel="00000000" w:rsidP="00000000" w:rsidRDefault="00000000" w:rsidRPr="00000000" w14:paraId="0000000D">
      <w:pPr>
        <w:rPr/>
      </w:pPr>
      <w:r w:rsidDel="00000000" w:rsidR="00000000" w:rsidRPr="00000000">
        <w:rPr>
          <w:rtl w:val="0"/>
        </w:rPr>
        <w:t xml:space="preserve">The pipeline auto-runs on startup if the opportunity table is empty. Results feed the Explorer and Home dashboards.</w:t>
      </w:r>
    </w:p>
    <w:p w:rsidR="00000000" w:rsidDel="00000000" w:rsidP="00000000" w:rsidRDefault="00000000" w:rsidRPr="00000000" w14:paraId="0000000E">
      <w:pPr>
        <w:pStyle w:val="Heading1"/>
        <w:rPr/>
      </w:pPr>
      <w:r w:rsidDel="00000000" w:rsidR="00000000" w:rsidRPr="00000000">
        <w:rPr>
          <w:rtl w:val="0"/>
        </w:rPr>
        <w:t xml:space="preserve">Opportunity Explorer</w:t>
      </w:r>
    </w:p>
    <w:p w:rsidR="00000000" w:rsidDel="00000000" w:rsidP="00000000" w:rsidRDefault="00000000" w:rsidRPr="00000000" w14:paraId="0000000F">
      <w:pPr>
        <w:rPr/>
      </w:pPr>
      <w:r w:rsidDel="00000000" w:rsidR="00000000" w:rsidRPr="00000000">
        <w:rPr>
          <w:rtl w:val="0"/>
        </w:rPr>
        <w:t xml:space="preserve">A dedicated page combining an interactive map with a filterable list view. Users can filter opportunities by Competitor Gap, Whitespace, Leads, and Our Stores. Each opportunity drills into a 10-dimension analysis with score breakdowns, competitor comparison, and site-level intelligence. KPI cards and a pipeline funnel sit on the Home page for executive visibility.</w:t>
      </w:r>
    </w:p>
    <w:p w:rsidR="00000000" w:rsidDel="00000000" w:rsidP="00000000" w:rsidRDefault="00000000" w:rsidRPr="00000000" w14:paraId="00000010">
      <w:pPr>
        <w:pStyle w:val="Heading1"/>
        <w:rPr/>
      </w:pPr>
      <w:r w:rsidDel="00000000" w:rsidR="00000000" w:rsidRPr="00000000">
        <w:rPr>
          <w:rtl w:val="0"/>
        </w:rPr>
        <w:t xml:space="preserve">Workspace Agent (Conversational Intelligence)</w:t>
      </w:r>
    </w:p>
    <w:p w:rsidR="00000000" w:rsidDel="00000000" w:rsidP="00000000" w:rsidRDefault="00000000" w:rsidRPr="00000000" w14:paraId="00000011">
      <w:pPr>
        <w:rPr/>
      </w:pPr>
      <w:r w:rsidDel="00000000" w:rsidR="00000000" w:rsidRPr="00000000">
        <w:rPr>
          <w:rtl w:val="0"/>
        </w:rPr>
        <w:t xml:space="preserve">The chat-driven workspace is where analysts interact with the platform's 4 specialist sub-agents:</w:t>
      </w:r>
    </w:p>
    <w:p w:rsidR="00000000" w:rsidDel="00000000" w:rsidP="00000000" w:rsidRDefault="00000000" w:rsidRPr="00000000" w14:paraId="00000012">
      <w:pPr>
        <w:rPr/>
      </w:pPr>
      <w:r w:rsidDel="00000000" w:rsidR="00000000" w:rsidRPr="00000000">
        <w:rPr>
          <w:b w:val="1"/>
          <w:bCs w:val="1"/>
          <w:rtl w:val="0"/>
        </w:rPr>
        <w:t xml:space="preserve">Location Agent — </w:t>
      </w:r>
      <w:r w:rsidDel="00000000" w:rsidR="00000000" w:rsidRPr="00000000">
        <w:rPr>
          <w:rtl w:val="0"/>
        </w:rPr>
        <w:t xml:space="preserve">Resolves addresses, PINs, Google Maps URLs, brand names to coordinates.</w:t>
      </w:r>
    </w:p>
    <w:p w:rsidR="00000000" w:rsidDel="00000000" w:rsidP="00000000" w:rsidRDefault="00000000" w:rsidRPr="00000000" w14:paraId="00000013">
      <w:pPr>
        <w:rPr/>
      </w:pPr>
      <w:r w:rsidDel="00000000" w:rsidR="00000000" w:rsidRPr="00000000">
        <w:rPr>
          <w:b w:val="1"/>
          <w:bCs w:val="1"/>
          <w:rtl w:val="0"/>
        </w:rPr>
        <w:t xml:space="preserve">Catchment Agent — </w:t>
      </w:r>
      <w:r w:rsidDel="00000000" w:rsidR="00000000" w:rsidRPr="00000000">
        <w:rPr>
          <w:rtl w:val="0"/>
        </w:rPr>
        <w:t xml:space="preserve">Store mapping, catchment analysis, whitespace detection, cannibalization analysis, isochrone generation.</w:t>
      </w:r>
    </w:p>
    <w:p w:rsidR="00000000" w:rsidDel="00000000" w:rsidP="00000000" w:rsidRDefault="00000000" w:rsidRPr="00000000" w14:paraId="00000014">
      <w:pPr>
        <w:rPr/>
      </w:pPr>
      <w:r w:rsidDel="00000000" w:rsidR="00000000" w:rsidRPr="00000000">
        <w:rPr>
          <w:b w:val="1"/>
          <w:bCs w:val="1"/>
          <w:rtl w:val="0"/>
        </w:rPr>
        <w:t xml:space="preserve">Intelligence Agent — </w:t>
      </w:r>
      <w:r w:rsidDel="00000000" w:rsidR="00000000" w:rsidRPr="00000000">
        <w:rPr>
          <w:rtl w:val="0"/>
        </w:rPr>
        <w:t xml:space="preserve">9-dimension site scoring, demographic profiling, site comparison/ranking, data layer visualization, concentric ring analysis.</w:t>
      </w:r>
    </w:p>
    <w:p w:rsidR="00000000" w:rsidDel="00000000" w:rsidP="00000000" w:rsidRDefault="00000000" w:rsidRPr="00000000" w14:paraId="00000015">
      <w:pPr>
        <w:rPr/>
      </w:pPr>
      <w:r w:rsidDel="00000000" w:rsidR="00000000" w:rsidRPr="00000000">
        <w:rPr>
          <w:b w:val="1"/>
          <w:bCs w:val="1"/>
          <w:rtl w:val="0"/>
        </w:rPr>
        <w:t xml:space="preserve">Strategic Agent — </w:t>
      </w:r>
      <w:r w:rsidDel="00000000" w:rsidR="00000000" w:rsidRPr="00000000">
        <w:rPr>
          <w:rtl w:val="0"/>
        </w:rPr>
        <w:t xml:space="preserve">Competitor mapping, POI discovery, city intelligence, market penetration, cross-vertical gap analysis, anomaly detection, store intelligence reports.</w:t>
      </w:r>
    </w:p>
    <w:p w:rsidR="00000000" w:rsidDel="00000000" w:rsidP="00000000" w:rsidRDefault="00000000" w:rsidRPr="00000000" w14:paraId="00000016">
      <w:pPr>
        <w:rPr/>
      </w:pPr>
      <w:r w:rsidDel="00000000" w:rsidR="00000000" w:rsidRPr="00000000">
        <w:rPr>
          <w:rtl w:val="0"/>
        </w:rPr>
        <w:t xml:space="preserve">All agent outputs mutate shared frontend state — markers, layers, polygons, and hex grids render on the map in real-time.</w:t>
      </w:r>
    </w:p>
    <w:p w:rsidR="00000000" w:rsidDel="00000000" w:rsidP="00000000" w:rsidRDefault="00000000" w:rsidRPr="00000000" w14:paraId="00000017">
      <w:pPr>
        <w:pStyle w:val="Heading1"/>
        <w:rPr/>
      </w:pPr>
      <w:r w:rsidDel="00000000" w:rsidR="00000000" w:rsidRPr="00000000">
        <w:rPr>
          <w:rtl w:val="0"/>
        </w:rPr>
        <w:t xml:space="preserve">Spatial Analysis Primitives</w:t>
      </w:r>
    </w:p>
    <w:p w:rsidR="00000000" w:rsidDel="00000000" w:rsidP="00000000" w:rsidRDefault="00000000" w:rsidRPr="00000000" w14:paraId="00000018">
      <w:pPr>
        <w:rPr/>
      </w:pPr>
      <w:r w:rsidDel="00000000" w:rsidR="00000000" w:rsidRPr="00000000">
        <w:rPr>
          <w:rtl w:val="0"/>
        </w:rPr>
        <w:t xml:space="preserve">The platform's spatial analysis layer provides the computational backbone powering both the Opportunity Engine and the Workspace agents:</w:t>
      </w:r>
    </w:p>
    <w:p w:rsidR="00000000" w:rsidDel="00000000" w:rsidP="00000000" w:rsidRDefault="00000000" w:rsidRPr="00000000" w14:paraId="00000019">
      <w:pPr>
        <w:rPr/>
      </w:pPr>
      <w:r w:rsidDel="00000000" w:rsidR="00000000" w:rsidRPr="00000000">
        <w:rPr>
          <w:b w:val="1"/>
          <w:bCs w:val="1"/>
          <w:rtl w:val="0"/>
        </w:rPr>
        <w:t xml:space="preserve">Radius &amp; Polygon Queries — </w:t>
      </w:r>
      <w:r w:rsidDel="00000000" w:rsidR="00000000" w:rsidRPr="00000000">
        <w:rPr>
          <w:rtl w:val="0"/>
        </w:rPr>
        <w:t xml:space="preserve">All spatial lookups — store discovery, demographic profiling, competitor mapping — execute against BigQuery using parameterised radius-based or polygon-based geographic filters.</w:t>
      </w:r>
    </w:p>
    <w:p w:rsidR="00000000" w:rsidDel="00000000" w:rsidP="00000000" w:rsidRDefault="00000000" w:rsidRPr="00000000" w14:paraId="0000001A">
      <w:pPr>
        <w:rPr/>
      </w:pPr>
      <w:r w:rsidDel="00000000" w:rsidR="00000000" w:rsidRPr="00000000">
        <w:rPr>
          <w:b w:val="1"/>
          <w:bCs w:val="1"/>
          <w:rtl w:val="0"/>
        </w:rPr>
        <w:t xml:space="preserve">H3 Hex Grid Analytics — </w:t>
      </w:r>
      <w:r w:rsidDel="00000000" w:rsidR="00000000" w:rsidRPr="00000000">
        <w:rPr>
          <w:rtl w:val="0"/>
        </w:rPr>
        <w:t xml:space="preserve">Demographic and demand data is indexed at H3 Level 8/9 resolution, enabling precise heatmap visualisation and micro-market analysis.</w:t>
      </w:r>
    </w:p>
    <w:p w:rsidR="00000000" w:rsidDel="00000000" w:rsidP="00000000" w:rsidRDefault="00000000" w:rsidRPr="00000000" w14:paraId="0000001B">
      <w:pPr>
        <w:rPr/>
      </w:pPr>
      <w:r w:rsidDel="00000000" w:rsidR="00000000" w:rsidRPr="00000000">
        <w:rPr>
          <w:b w:val="1"/>
          <w:bCs w:val="1"/>
          <w:rtl w:val="0"/>
        </w:rPr>
        <w:t xml:space="preserve">Travel-Time Routing — </w:t>
      </w:r>
      <w:r w:rsidDel="00000000" w:rsidR="00000000" w:rsidRPr="00000000">
        <w:rPr>
          <w:rtl w:val="0"/>
        </w:rPr>
        <w:t xml:space="preserve">Google Routes API converts real-world travel constraints (e.g., "15-minute drive") into optimal search radii through iterative refinement — powering isochrone and catchment calculations.</w:t>
      </w:r>
    </w:p>
    <w:p w:rsidR="00000000" w:rsidDel="00000000" w:rsidP="00000000" w:rsidRDefault="00000000" w:rsidRPr="00000000" w14:paraId="0000001C">
      <w:pPr>
        <w:rPr/>
      </w:pPr>
      <w:r w:rsidDel="00000000" w:rsidR="00000000" w:rsidRPr="00000000">
        <w:rPr>
          <w:b w:val="1"/>
          <w:bCs w:val="1"/>
          <w:rtl w:val="0"/>
        </w:rPr>
        <w:t xml:space="preserve">Competitor Discovery — </w:t>
      </w:r>
      <w:r w:rsidDel="00000000" w:rsidR="00000000" w:rsidRPr="00000000">
        <w:rPr>
          <w:rtl w:val="0"/>
        </w:rPr>
        <w:t xml:space="preserve">Google Places API integration scans for competitor presence, POIs, and transit hubs within any defined area — categorised and scored automatically.</w:t>
      </w:r>
    </w:p>
    <w:p w:rsidR="00000000" w:rsidDel="00000000" w:rsidP="00000000" w:rsidRDefault="00000000" w:rsidRPr="00000000" w14:paraId="0000001D">
      <w:pPr>
        <w:rPr/>
      </w:pPr>
      <w:r w:rsidDel="00000000" w:rsidR="00000000" w:rsidRPr="00000000">
        <w:rPr>
          <w:b w:val="1"/>
          <w:bCs w:val="1"/>
          <w:rtl w:val="0"/>
        </w:rPr>
        <w:t xml:space="preserve">Feasibility Assessment — </w:t>
      </w:r>
      <w:r w:rsidDel="00000000" w:rsidR="00000000" w:rsidRPr="00000000">
        <w:rPr>
          <w:rtl w:val="0"/>
        </w:rPr>
        <w:t xml:space="preserve">Polygon-based feasibility workflows pull demographic, retail, and competitive data in parallel, producing viability scores for candidate locations.</w:t>
      </w:r>
    </w:p>
    <w:p w:rsidR="00000000" w:rsidDel="00000000" w:rsidP="00000000" w:rsidRDefault="00000000" w:rsidRPr="00000000" w14:paraId="0000001E">
      <w:pPr>
        <w:rPr/>
      </w:pPr>
      <w:r w:rsidDel="00000000" w:rsidR="00000000" w:rsidRPr="00000000">
        <w:rPr>
          <w:b w:val="1"/>
          <w:bCs w:val="1"/>
          <w:rtl w:val="0"/>
        </w:rPr>
        <w:t xml:space="preserve">ModelArmor Security — </w:t>
      </w:r>
      <w:r w:rsidDel="00000000" w:rsidR="00000000" w:rsidRPr="00000000">
        <w:rPr>
          <w:rtl w:val="0"/>
        </w:rPr>
        <w:t xml:space="preserve">All LLM interactions are wrapped with Google ModelArmor guards, ensuring safe and policy-compliant agent behaviour in production.</w:t>
      </w:r>
    </w:p>
    <w:p w:rsidR="00000000" w:rsidDel="00000000" w:rsidP="00000000" w:rsidRDefault="00000000" w:rsidRPr="00000000" w14:paraId="0000001F">
      <w:pPr>
        <w:pStyle w:val="Heading1"/>
        <w:rPr/>
      </w:pPr>
      <w:r w:rsidDel="00000000" w:rsidR="00000000" w:rsidRPr="00000000">
        <w:rPr>
          <w:rtl w:val="0"/>
        </w:rPr>
        <w:t xml:space="preserve">Key Technical Decisions</w:t>
      </w:r>
    </w:p>
    <w:tbl>
      <w:tblPr>
        <w:tblStyle w:val="Table1"/>
        <w:tblW w:w="8640.0" w:type="dxa"/>
        <w:jc w:val="center"/>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Area</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LLM</w:t>
            </w:r>
          </w:p>
        </w:tc>
        <w:tc>
          <w:tcPr/>
          <w:p w:rsidR="00000000" w:rsidDel="00000000" w:rsidP="00000000" w:rsidRDefault="00000000" w:rsidRPr="00000000" w14:paraId="00000023">
            <w:pPr>
              <w:rPr/>
            </w:pPr>
            <w:r w:rsidDel="00000000" w:rsidR="00000000" w:rsidRPr="00000000">
              <w:rPr>
                <w:rtl w:val="0"/>
              </w:rPr>
              <w:t xml:space="preserve">Gemini 2.5 Pro (temp=0.0)</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Agent Framework</w:t>
            </w:r>
          </w:p>
        </w:tc>
        <w:tc>
          <w:tcPr/>
          <w:p w:rsidR="00000000" w:rsidDel="00000000" w:rsidP="00000000" w:rsidRDefault="00000000" w:rsidRPr="00000000" w14:paraId="00000025">
            <w:pPr>
              <w:rPr/>
            </w:pPr>
            <w:r w:rsidDel="00000000" w:rsidR="00000000" w:rsidRPr="00000000">
              <w:rPr>
                <w:rtl w:val="0"/>
              </w:rPr>
              <w:t xml:space="preserve">Google ADK with AgentTool delegation</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Protocol</w:t>
            </w:r>
          </w:p>
        </w:tc>
        <w:tc>
          <w:tcPr/>
          <w:p w:rsidR="00000000" w:rsidDel="00000000" w:rsidP="00000000" w:rsidRDefault="00000000" w:rsidRPr="00000000" w14:paraId="00000027">
            <w:pPr>
              <w:rPr/>
            </w:pPr>
            <w:r w:rsidDel="00000000" w:rsidR="00000000" w:rsidRPr="00000000">
              <w:rPr>
                <w:rtl w:val="0"/>
              </w:rPr>
              <w:t xml:space="preserve">AG-UI v2 (JSON-RPC → SSE)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Frontend Chat</w:t>
            </w:r>
          </w:p>
        </w:tc>
        <w:tc>
          <w:tcPr/>
          <w:p w:rsidR="00000000" w:rsidDel="00000000" w:rsidP="00000000" w:rsidRDefault="00000000" w:rsidRPr="00000000" w14:paraId="00000029">
            <w:pPr>
              <w:rPr/>
            </w:pPr>
            <w:r w:rsidDel="00000000" w:rsidR="00000000" w:rsidRPr="00000000">
              <w:rPr>
                <w:rtl w:val="0"/>
              </w:rPr>
              <w:t xml:space="preserve">Hand-rolled (not CopilotKit default UI)</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Geospatial</w:t>
            </w:r>
          </w:p>
        </w:tc>
        <w:tc>
          <w:tcPr/>
          <w:p w:rsidR="00000000" w:rsidDel="00000000" w:rsidP="00000000" w:rsidRDefault="00000000" w:rsidRPr="00000000" w14:paraId="0000002B">
            <w:pPr>
              <w:rPr/>
            </w:pPr>
            <w:r w:rsidDel="00000000" w:rsidR="00000000" w:rsidRPr="00000000">
              <w:rPr>
                <w:rtl w:val="0"/>
              </w:rPr>
              <w:t xml:space="preserve">H3 Level 8/9 + Valhalla routing</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State</w:t>
            </w:r>
          </w:p>
        </w:tc>
        <w:tc>
          <w:tcPr/>
          <w:p w:rsidR="00000000" w:rsidDel="00000000" w:rsidP="00000000" w:rsidRDefault="00000000" w:rsidRPr="00000000" w14:paraId="0000002D">
            <w:pPr>
              <w:rPr/>
            </w:pPr>
            <w:r w:rsidDel="00000000" w:rsidR="00000000" w:rsidRPr="00000000">
              <w:rPr>
                <w:rtl w:val="0"/>
              </w:rPr>
              <w:t xml:space="preserve">Bidirectional — CopilotKit syncs agent state mutations to React</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Persistence</w:t>
            </w:r>
          </w:p>
        </w:tc>
        <w:tc>
          <w:tcPr/>
          <w:p w:rsidR="00000000" w:rsidDel="00000000" w:rsidP="00000000" w:rsidRDefault="00000000" w:rsidRPr="00000000" w14:paraId="0000002F">
            <w:pPr>
              <w:rPr/>
            </w:pPr>
            <w:r w:rsidDel="00000000" w:rsidR="00000000" w:rsidRPr="00000000">
              <w:rPr>
                <w:rtl w:val="0"/>
              </w:rPr>
              <w:t xml:space="preserve">PostgreSQL (messages/workspaces) + Cloud SQL (sessions) + BigQuery (analytics)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Security</w:t>
            </w:r>
          </w:p>
        </w:tc>
        <w:tc>
          <w:tcPr/>
          <w:p w:rsidR="00000000" w:rsidDel="00000000" w:rsidP="00000000" w:rsidRDefault="00000000" w:rsidRPr="00000000" w14:paraId="00000031">
            <w:pPr>
              <w:rPr/>
            </w:pPr>
            <w:r w:rsidDel="00000000" w:rsidR="00000000" w:rsidRPr="00000000">
              <w:rPr>
                <w:rtl w:val="0"/>
              </w:rPr>
              <w:t xml:space="preserve">ModelArmor guards on all LLM interactions</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Session Management</w:t>
            </w:r>
          </w:p>
        </w:tc>
        <w:tc>
          <w:tcPr/>
          <w:p w:rsidR="00000000" w:rsidDel="00000000" w:rsidP="00000000" w:rsidRDefault="00000000" w:rsidRPr="00000000" w14:paraId="00000033">
            <w:pPr>
              <w:rPr/>
            </w:pPr>
            <w:r w:rsidDel="00000000" w:rsidR="00000000" w:rsidRPr="00000000">
              <w:rPr>
                <w:rtl w:val="0"/>
              </w:rPr>
              <w:t xml:space="preserve">In-memory (dev) / Cloud SQL with optimistic concurrency (prod)</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