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FFFFFF" w:sz="1"/>
              <w:left w:val="single" w:color="FFFFFF" w:sz="1"/>
              <w:bottom w:val="single" w:color="FFFFFF" w:sz="1"/>
              <w:right w:val="single" w:color="FFFFFF" w:sz="1"/>
            </w:tcBorders>
            <w:shd w:fill="FFFFFF" w:val="clear"/>
            <w:tcMar>
              <w:top w:type="dxa" w:w="100"/>
              <w:left w:type="dxa" w:w="140"/>
              <w:bottom w:type="dxa" w:w="100"/>
              <w:right w:type="dxa" w:w="140"/>
            </w:tcMar>
          </w:tcPr>
          <w:p>
            <w:pPr>
              <w:spacing w:after="30" w:before="0"/>
            </w:pPr>
            <w:r>
              <w:rPr>
                <w:rFonts w:ascii="Calibri" w:cs="Calibri" w:eastAsia="Calibri" w:hAnsi="Calibri"/>
                <w:b/>
                <w:bCs/>
                <w:i w:val="false"/>
                <w:iCs w:val="false"/>
                <w:caps w:val="false"/>
                <w:color w:val="0B2545"/>
                <w:sz w:val="30"/>
                <w:szCs w:val="30"/>
              </w:rPr>
              <w:t xml:space="preserve">RCPL DIGITAL PLATFORM</w:t>
            </w:r>
          </w:p>
          <w:p>
            <w:pPr>
              <w:spacing w:after="0" w:before="0"/>
            </w:pPr>
            <w:r>
              <w:rPr>
                <w:rFonts w:ascii="Calibri" w:cs="Calibri" w:eastAsia="Calibri" w:hAnsi="Calibri"/>
                <w:b w:val="false"/>
                <w:bCs w:val="false"/>
                <w:i/>
                <w:iCs/>
                <w:caps w:val="false"/>
                <w:color w:val="5A6473"/>
                <w:sz w:val="18"/>
                <w:szCs w:val="18"/>
              </w:rPr>
              <w:t xml:space="preserve">AI-Native FMCG Operating System · Note for the APEX Board</w:t>
            </w:r>
          </w:p>
        </w:tc>
        <w:tc>
          <w:tcPr>
            <w:tcW w:type="dxa" w:w="3120"/>
            <w:tcBorders>
              <w:top w:val="single" w:color="FFFFFF" w:sz="1"/>
              <w:left w:val="single" w:color="FFFFFF" w:sz="1"/>
              <w:bottom w:val="single" w:color="FFFFFF" w:sz="1"/>
              <w:right w:val="single" w:color="FFFFFF" w:sz="1"/>
            </w:tcBorders>
            <w:shd w:fill="FFFFFF" w:val="clear"/>
            <w:tcMar>
              <w:top w:type="dxa" w:w="100"/>
              <w:left w:type="dxa" w:w="140"/>
              <w:bottom w:type="dxa" w:w="100"/>
              <w:right w:type="dxa" w:w="140"/>
            </w:tcMar>
          </w:tcPr>
          <w:p>
            <w:pPr>
              <w:spacing w:after="20" w:before="0"/>
              <w:jc w:val="right"/>
            </w:pPr>
            <w:r>
              <w:rPr>
                <w:rFonts w:ascii="Calibri" w:cs="Calibri" w:eastAsia="Calibri" w:hAnsi="Calibri"/>
                <w:b w:val="false"/>
                <w:bCs w:val="false"/>
                <w:i w:val="false"/>
                <w:iCs w:val="false"/>
                <w:caps w:val="false"/>
                <w:color w:val="5A6473"/>
                <w:sz w:val="18"/>
                <w:szCs w:val="18"/>
              </w:rPr>
              <w:t xml:space="preserve">1 May 2026</w:t>
            </w:r>
          </w:p>
          <w:p>
            <w:pPr>
              <w:spacing w:after="0" w:before="0"/>
              <w:jc w:val="right"/>
            </w:pPr>
            <w:r>
              <w:rPr>
                <w:rFonts w:ascii="Calibri" w:cs="Calibri" w:eastAsia="Calibri" w:hAnsi="Calibri"/>
                <w:b/>
                <w:bCs/>
                <w:i w:val="false"/>
                <w:iCs w:val="false"/>
                <w:caps w:val="false"/>
                <w:color w:val="B08D3F"/>
                <w:sz w:val="16"/>
                <w:szCs w:val="16"/>
              </w:rPr>
              <w:t xml:space="preserve">CONFIDENTIAL · FROM FYND</w:t>
            </w:r>
          </w:p>
        </w:tc>
      </w:tr>
    </w:tbl>
    <w:p>
      <w:pPr>
        <w:pBdr>
          <w:bottom w:val="single" w:color="B08D3F" w:sz="12" w:space="1"/>
        </w:pBdr>
        <w:spacing w:after="200" w:before="60"/>
      </w:pPr>
      <w:r>
        <w:rPr>
          <w:rFonts w:ascii="Calibri" w:cs="Calibri" w:eastAsia="Calibri" w:hAnsi="Calibri"/>
          <w:b w:val="false"/>
          <w:bCs w:val="false"/>
          <w:i w:val="false"/>
          <w:iCs w:val="false"/>
          <w:caps w:val="false"/>
          <w:color w:val="1A1A1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AE0" w:sz="1"/>
              <w:left w:val="single" w:color="D5DAE0" w:sz="1"/>
              <w:bottom w:val="single" w:color="D5DAE0" w:sz="1"/>
              <w:right w:val="single" w:color="D5DAE0" w:sz="1"/>
            </w:tcBorders>
            <w:shd w:fill="F4F6F8" w:val="clear"/>
            <w:tcMar>
              <w:top w:type="dxa" w:w="100"/>
              <w:left w:type="dxa" w:w="140"/>
              <w:bottom w:type="dxa" w:w="100"/>
              <w:right w:type="dxa" w:w="140"/>
            </w:tcMar>
          </w:tcPr>
          <w:p>
            <w:pPr>
              <w:spacing w:after="20" w:before="60"/>
              <w:jc w:val="center"/>
            </w:pPr>
            <w:r>
              <w:rPr>
                <w:rFonts w:ascii="Calibri" w:cs="Calibri" w:eastAsia="Calibri" w:hAnsi="Calibri"/>
                <w:b/>
                <w:bCs/>
                <w:i w:val="false"/>
                <w:iCs w:val="false"/>
                <w:caps w:val="false"/>
                <w:color w:val="0B2545"/>
                <w:sz w:val="28"/>
                <w:szCs w:val="28"/>
              </w:rPr>
              <w:t xml:space="preserve">₹20,000 Cr</w:t>
            </w:r>
          </w:p>
          <w:p>
            <w:pPr>
              <w:spacing w:after="60" w:before="0"/>
              <w:jc w:val="center"/>
            </w:pPr>
            <w:r>
              <w:rPr>
                <w:rFonts w:ascii="Calibri" w:cs="Calibri" w:eastAsia="Calibri" w:hAnsi="Calibri"/>
                <w:b w:val="false"/>
                <w:bCs w:val="false"/>
                <w:i w:val="false"/>
                <w:iCs w:val="false"/>
                <w:caps/>
                <w:color w:val="5A6473"/>
                <w:sz w:val="15"/>
                <w:szCs w:val="15"/>
              </w:rPr>
              <w:t xml:space="preserve">FY26 Run-rate</w:t>
            </w:r>
          </w:p>
        </w:tc>
        <w:tc>
          <w:tcPr>
            <w:tcW w:type="dxa" w:w="2340"/>
            <w:tcBorders>
              <w:top w:val="single" w:color="D5DAE0" w:sz="1"/>
              <w:left w:val="single" w:color="D5DAE0" w:sz="1"/>
              <w:bottom w:val="single" w:color="D5DAE0" w:sz="1"/>
              <w:right w:val="single" w:color="D5DAE0" w:sz="1"/>
            </w:tcBorders>
            <w:shd w:fill="F4F6F8" w:val="clear"/>
            <w:tcMar>
              <w:top w:type="dxa" w:w="100"/>
              <w:left w:type="dxa" w:w="140"/>
              <w:bottom w:type="dxa" w:w="100"/>
              <w:right w:type="dxa" w:w="140"/>
            </w:tcMar>
          </w:tcPr>
          <w:p>
            <w:pPr>
              <w:spacing w:after="20" w:before="60"/>
              <w:jc w:val="center"/>
            </w:pPr>
            <w:r>
              <w:rPr>
                <w:rFonts w:ascii="Calibri" w:cs="Calibri" w:eastAsia="Calibri" w:hAnsi="Calibri"/>
                <w:b/>
                <w:bCs/>
                <w:i w:val="false"/>
                <w:iCs w:val="false"/>
                <w:caps w:val="false"/>
                <w:color w:val="0B2545"/>
                <w:sz w:val="28"/>
                <w:szCs w:val="28"/>
              </w:rPr>
              <w:t xml:space="preserve">5 PODs</w:t>
            </w:r>
          </w:p>
          <w:p>
            <w:pPr>
              <w:spacing w:after="60" w:before="0"/>
              <w:jc w:val="center"/>
            </w:pPr>
            <w:r>
              <w:rPr>
                <w:rFonts w:ascii="Calibri" w:cs="Calibri" w:eastAsia="Calibri" w:hAnsi="Calibri"/>
                <w:b w:val="false"/>
                <w:bCs w:val="false"/>
                <w:i w:val="false"/>
                <w:iCs w:val="false"/>
                <w:caps/>
                <w:color w:val="5A6473"/>
                <w:sz w:val="15"/>
                <w:szCs w:val="15"/>
              </w:rPr>
              <w:t xml:space="preserve">Active Delivery</w:t>
            </w:r>
          </w:p>
        </w:tc>
        <w:tc>
          <w:tcPr>
            <w:tcW w:type="dxa" w:w="2340"/>
            <w:tcBorders>
              <w:top w:val="single" w:color="D5DAE0" w:sz="1"/>
              <w:left w:val="single" w:color="D5DAE0" w:sz="1"/>
              <w:bottom w:val="single" w:color="D5DAE0" w:sz="1"/>
              <w:right w:val="single" w:color="D5DAE0" w:sz="1"/>
            </w:tcBorders>
            <w:shd w:fill="F4F6F8" w:val="clear"/>
            <w:tcMar>
              <w:top w:type="dxa" w:w="100"/>
              <w:left w:type="dxa" w:w="140"/>
              <w:bottom w:type="dxa" w:w="100"/>
              <w:right w:type="dxa" w:w="140"/>
            </w:tcMar>
          </w:tcPr>
          <w:p>
            <w:pPr>
              <w:spacing w:after="20" w:before="60"/>
              <w:jc w:val="center"/>
            </w:pPr>
            <w:r>
              <w:rPr>
                <w:rFonts w:ascii="Calibri" w:cs="Calibri" w:eastAsia="Calibri" w:hAnsi="Calibri"/>
                <w:b/>
                <w:bCs/>
                <w:i w:val="false"/>
                <w:iCs w:val="false"/>
                <w:caps w:val="false"/>
                <w:color w:val="0B2545"/>
                <w:sz w:val="28"/>
                <w:szCs w:val="28"/>
              </w:rPr>
              <w:t xml:space="preserve">1.86 L</w:t>
            </w:r>
          </w:p>
          <w:p>
            <w:pPr>
              <w:spacing w:after="60" w:before="0"/>
              <w:jc w:val="center"/>
            </w:pPr>
            <w:r>
              <w:rPr>
                <w:rFonts w:ascii="Calibri" w:cs="Calibri" w:eastAsia="Calibri" w:hAnsi="Calibri"/>
                <w:b w:val="false"/>
                <w:bCs w:val="false"/>
                <w:i w:val="false"/>
                <w:iCs w:val="false"/>
                <w:caps/>
                <w:color w:val="5A6473"/>
                <w:sz w:val="15"/>
                <w:szCs w:val="15"/>
              </w:rPr>
              <w:t xml:space="preserve">Assets Tracked</w:t>
            </w:r>
          </w:p>
        </w:tc>
        <w:tc>
          <w:tcPr>
            <w:tcW w:type="dxa" w:w="2340"/>
            <w:tcBorders>
              <w:top w:val="single" w:color="D5DAE0" w:sz="1"/>
              <w:left w:val="single" w:color="D5DAE0" w:sz="1"/>
              <w:bottom w:val="single" w:color="D5DAE0" w:sz="1"/>
              <w:right w:val="single" w:color="D5DAE0" w:sz="1"/>
            </w:tcBorders>
            <w:shd w:fill="F4F6F8" w:val="clear"/>
            <w:tcMar>
              <w:top w:type="dxa" w:w="100"/>
              <w:left w:type="dxa" w:w="140"/>
              <w:bottom w:type="dxa" w:w="100"/>
              <w:right w:type="dxa" w:w="140"/>
            </w:tcMar>
          </w:tcPr>
          <w:p>
            <w:pPr>
              <w:spacing w:after="20" w:before="60"/>
              <w:jc w:val="center"/>
            </w:pPr>
            <w:r>
              <w:rPr>
                <w:rFonts w:ascii="Calibri" w:cs="Calibri" w:eastAsia="Calibri" w:hAnsi="Calibri"/>
                <w:b/>
                <w:bCs/>
                <w:i w:val="false"/>
                <w:iCs w:val="false"/>
                <w:caps w:val="false"/>
                <w:color w:val="0B2545"/>
                <w:sz w:val="28"/>
                <w:szCs w:val="28"/>
              </w:rPr>
              <w:t xml:space="preserve">₹5,000 Cr+</w:t>
            </w:r>
          </w:p>
          <w:p>
            <w:pPr>
              <w:spacing w:after="60" w:before="0"/>
              <w:jc w:val="center"/>
            </w:pPr>
            <w:r>
              <w:rPr>
                <w:rFonts w:ascii="Calibri" w:cs="Calibri" w:eastAsia="Calibri" w:hAnsi="Calibri"/>
                <w:b w:val="false"/>
                <w:bCs w:val="false"/>
                <w:i w:val="false"/>
                <w:iCs w:val="false"/>
                <w:caps/>
                <w:color w:val="5A6473"/>
                <w:sz w:val="15"/>
                <w:szCs w:val="15"/>
              </w:rPr>
              <w:t xml:space="preserve">Order Coverage</w:t>
            </w:r>
          </w:p>
        </w:tc>
      </w:tr>
    </w:tbl>
    <w:p>
      <w:pPr>
        <w:pBdr>
          <w:bottom w:val="single" w:color="13616E" w:sz="8" w:space="4"/>
        </w:pBdr>
        <w:spacing w:after="120" w:before="240"/>
      </w:pPr>
      <w:r>
        <w:rPr>
          <w:rFonts w:ascii="Calibri" w:cs="Calibri" w:eastAsia="Calibri" w:hAnsi="Calibri"/>
          <w:b/>
          <w:bCs/>
          <w:i w:val="false"/>
          <w:iCs w:val="false"/>
          <w:caps/>
          <w:color w:val="0B2545"/>
          <w:sz w:val="24"/>
          <w:szCs w:val="24"/>
        </w:rPr>
        <w:t xml:space="preserve">Where We Are Today</w:t>
      </w:r>
    </w:p>
    <w:p>
      <w:pPr>
        <w:spacing w:after="60" w:before="100" w:line="290"/>
        <w:jc w:val="left"/>
      </w:pPr>
      <w:r>
        <w:rPr>
          <w:rFonts w:ascii="Calibri" w:cs="Calibri" w:eastAsia="Calibri" w:hAnsi="Calibri"/>
          <w:b w:val="false"/>
          <w:bCs w:val="false"/>
          <w:i w:val="false"/>
          <w:iCs w:val="false"/>
          <w:caps w:val="false"/>
          <w:color w:val="1A1A1A"/>
          <w:sz w:val="20"/>
          <w:szCs w:val="20"/>
        </w:rPr>
        <w:t xml:space="preserve">RCPL has scaled to ₹20,000 Cr run-rate revenue in under three years — among the fastest FMCG ramp-ups in the Indian market. </w:t>
      </w:r>
      <w:r>
        <w:rPr>
          <w:rFonts w:ascii="Calibri" w:cs="Calibri" w:eastAsia="Calibri" w:hAnsi="Calibri"/>
          <w:b/>
          <w:bCs/>
          <w:i w:val="false"/>
          <w:iCs w:val="false"/>
          <w:caps w:val="false"/>
          <w:color w:val="1A1A1A"/>
          <w:sz w:val="20"/>
          <w:szCs w:val="20"/>
        </w:rPr>
        <w:t xml:space="preserve">Fynd has now taken full ownership of the digital platform powering this business</w:t>
      </w:r>
      <w:r>
        <w:rPr>
          <w:rFonts w:ascii="Calibri" w:cs="Calibri" w:eastAsia="Calibri" w:hAnsi="Calibri"/>
          <w:b w:val="false"/>
          <w:bCs w:val="false"/>
          <w:i w:val="false"/>
          <w:iCs w:val="false"/>
          <w:caps w:val="false"/>
          <w:color w:val="1A1A1A"/>
          <w:sz w:val="20"/>
          <w:szCs w:val="20"/>
        </w:rPr>
        <w:t xml:space="preserve"> — Pre-Sales, Van Sales, Primary DMS, Cooler Tracking (CTS), Pricing &amp; Promotions, and SFA — running through five parallel PODs across Beverage and Non-Beverage.</w:t>
      </w:r>
    </w:p>
    <w:p>
      <w:pPr>
        <w:spacing w:after="60" w:before="60" w:line="290"/>
        <w:jc w:val="left"/>
      </w:pPr>
      <w:r>
        <w:rPr>
          <w:rFonts w:ascii="Calibri" w:cs="Calibri" w:eastAsia="Calibri" w:hAnsi="Calibri"/>
          <w:b/>
          <w:bCs/>
          <w:i w:val="false"/>
          <w:iCs w:val="false"/>
          <w:caps w:val="false"/>
          <w:color w:val="0B2545"/>
          <w:sz w:val="20"/>
          <w:szCs w:val="20"/>
        </w:rPr>
        <w:t xml:space="preserve">Current stance: </w:t>
      </w:r>
      <w:r>
        <w:rPr>
          <w:rFonts w:ascii="Calibri" w:cs="Calibri" w:eastAsia="Calibri" w:hAnsi="Calibri"/>
          <w:b w:val="false"/>
          <w:bCs w:val="false"/>
          <w:i w:val="false"/>
          <w:iCs w:val="false"/>
          <w:caps w:val="false"/>
          <w:color w:val="1A1A1A"/>
          <w:sz w:val="20"/>
          <w:szCs w:val="20"/>
        </w:rPr>
        <w:t xml:space="preserve">the platform is in production, but inherited with structural debt — shared cluster constraints, data quality gaps, partial segment coverage, and an L1 ticket load that reflects two years of accumulated patches. We are stabilising and scaling at the same time, while the business asks for new features, broader segment coverage, and higher transaction volume. In the most recent cycle, 40+ items shipped to production across 5 workflow areas, including a critical security fix and elimination of ~35,000 physical CSO visits via backend verification.</w:t>
      </w:r>
    </w:p>
    <w:p>
      <w:pPr>
        <w:spacing w:after="60" w:before="60" w:line="290"/>
        <w:jc w:val="left"/>
      </w:pPr>
      <w:r>
        <w:rPr>
          <w:rFonts w:ascii="Calibri" w:cs="Calibri" w:eastAsia="Calibri" w:hAnsi="Calibri"/>
          <w:b w:val="false"/>
          <w:bCs w:val="false"/>
          <w:i w:val="false"/>
          <w:iCs w:val="false"/>
          <w:caps w:val="false"/>
          <w:color w:val="1A1A1A"/>
          <w:sz w:val="20"/>
          <w:szCs w:val="20"/>
        </w:rPr>
        <w:t xml:space="preserve">The next chapter is not just to harden what exists — it is to build the </w:t>
      </w:r>
      <w:r>
        <w:rPr>
          <w:rFonts w:ascii="Calibri" w:cs="Calibri" w:eastAsia="Calibri" w:hAnsi="Calibri"/>
          <w:b/>
          <w:bCs/>
          <w:i w:val="false"/>
          <w:iCs w:val="false"/>
          <w:caps w:val="false"/>
          <w:color w:val="0B2545"/>
          <w:sz w:val="20"/>
          <w:szCs w:val="20"/>
        </w:rPr>
        <w:t xml:space="preserve">AI-native FMCG Operating System</w:t>
      </w:r>
      <w:r>
        <w:rPr>
          <w:rFonts w:ascii="Calibri" w:cs="Calibri" w:eastAsia="Calibri" w:hAnsi="Calibri"/>
          <w:b w:val="false"/>
          <w:bCs w:val="false"/>
          <w:i w:val="false"/>
          <w:iCs w:val="false"/>
          <w:caps w:val="false"/>
          <w:color w:val="1A1A1A"/>
          <w:sz w:val="20"/>
          <w:szCs w:val="20"/>
        </w:rPr>
        <w:t xml:space="preserve"> that RCPL's scale and ambition warrant. This note sets out that path.</w:t>
      </w:r>
    </w:p>
    <w:p>
      <w:pPr>
        <w:pBdr>
          <w:bottom w:val="single" w:color="13616E" w:sz="8" w:space="4"/>
        </w:pBdr>
        <w:spacing w:after="120" w:before="280"/>
      </w:pPr>
      <w:r>
        <w:rPr>
          <w:rFonts w:ascii="Calibri" w:cs="Calibri" w:eastAsia="Calibri" w:hAnsi="Calibri"/>
          <w:b/>
          <w:bCs/>
          <w:i w:val="false"/>
          <w:iCs w:val="false"/>
          <w:caps/>
          <w:color w:val="0B2545"/>
          <w:sz w:val="24"/>
          <w:szCs w:val="24"/>
        </w:rPr>
        <w:t xml:space="preserve">The North Star · An AI-Native FMCG OS, Built In-House</w:t>
      </w:r>
    </w:p>
    <w:p>
      <w:pPr>
        <w:spacing w:after="60" w:before="60" w:line="290"/>
        <w:jc w:val="left"/>
      </w:pPr>
      <w:r>
        <w:rPr>
          <w:rFonts w:ascii="Calibri" w:cs="Calibri" w:eastAsia="Calibri" w:hAnsi="Calibri"/>
          <w:b w:val="false"/>
          <w:bCs w:val="false"/>
          <w:i w:val="false"/>
          <w:iCs w:val="false"/>
          <w:caps w:val="false"/>
          <w:color w:val="1A1A1A"/>
          <w:sz w:val="20"/>
          <w:szCs w:val="20"/>
        </w:rPr>
        <w:t xml:space="preserve">RCPL's distribution platform should not be a configured commercial DMS. It should be an </w:t>
      </w:r>
      <w:r>
        <w:rPr>
          <w:rFonts w:ascii="Calibri" w:cs="Calibri" w:eastAsia="Calibri" w:hAnsi="Calibri"/>
          <w:b/>
          <w:bCs/>
          <w:i w:val="false"/>
          <w:iCs w:val="false"/>
          <w:caps w:val="false"/>
          <w:color w:val="1A1A1A"/>
          <w:sz w:val="20"/>
          <w:szCs w:val="20"/>
        </w:rPr>
        <w:t xml:space="preserve">AI-first, RCPL-owned operating system</w:t>
      </w:r>
      <w:r>
        <w:rPr>
          <w:rFonts w:ascii="Calibri" w:cs="Calibri" w:eastAsia="Calibri" w:hAnsi="Calibri"/>
          <w:b w:val="false"/>
          <w:bCs w:val="false"/>
          <w:i w:val="false"/>
          <w:iCs w:val="false"/>
          <w:caps w:val="false"/>
          <w:color w:val="1A1A1A"/>
          <w:sz w:val="20"/>
          <w:szCs w:val="20"/>
        </w:rPr>
        <w:t xml:space="preserve"> — purpose-built for the scale, segment-mix, and route-to-market complexity that no off-the-shelf product covers end-to-end.</w:t>
      </w:r>
    </w:p>
    <w:p>
      <w:pPr>
        <w:spacing w:after="60" w:before="60" w:line="290"/>
        <w:jc w:val="left"/>
      </w:pPr>
      <w:r>
        <w:rPr>
          <w:rFonts w:ascii="Calibri" w:cs="Calibri" w:eastAsia="Calibri" w:hAnsi="Calibri"/>
          <w:b/>
          <w:bCs/>
          <w:i w:val="false"/>
          <w:iCs w:val="false"/>
          <w:caps w:val="false"/>
          <w:color w:val="1A1A1A"/>
          <w:sz w:val="20"/>
          <w:szCs w:val="20"/>
        </w:rPr>
        <w:t xml:space="preserve">Three principles guide the build:</w:t>
      </w:r>
    </w:p>
    <w:p>
      <w:pPr>
        <w:pStyle w:val="ListParagraph"/>
        <w:numPr>
          <w:ilvl w:val="0"/>
          <w:numId w:val="2"/>
        </w:numPr>
        <w:spacing w:after="30" w:before="30" w:line="280"/>
      </w:pPr>
      <w:r>
        <w:rPr>
          <w:rFonts w:ascii="Calibri" w:cs="Calibri" w:eastAsia="Calibri" w:hAnsi="Calibri"/>
          <w:b/>
          <w:bCs/>
          <w:i w:val="false"/>
          <w:iCs w:val="false"/>
          <w:caps w:val="false"/>
          <w:color w:val="1A1A1A"/>
          <w:sz w:val="20"/>
          <w:szCs w:val="20"/>
        </w:rPr>
        <w:t xml:space="preserve">AI at the core, not bolted on. </w:t>
      </w:r>
      <w:r>
        <w:rPr>
          <w:rFonts w:ascii="Calibri" w:cs="Calibri" w:eastAsia="Calibri" w:hAnsi="Calibri"/>
          <w:b w:val="false"/>
          <w:bCs w:val="false"/>
          <w:i w:val="false"/>
          <w:iCs w:val="false"/>
          <w:caps w:val="false"/>
          <w:color w:val="1A1A1A"/>
          <w:sz w:val="20"/>
          <w:szCs w:val="20"/>
        </w:rPr>
        <w:t xml:space="preserve">Every workflow — targets, tasks, orders, credit, inventory, routes — is driven by ML predictions and recommendations, not static rules.</w:t>
      </w:r>
    </w:p>
    <w:p>
      <w:pPr>
        <w:pStyle w:val="ListParagraph"/>
        <w:numPr>
          <w:ilvl w:val="0"/>
          <w:numId w:val="2"/>
        </w:numPr>
        <w:spacing w:after="30" w:before="30" w:line="280"/>
      </w:pPr>
      <w:r>
        <w:rPr>
          <w:rFonts w:ascii="Calibri" w:cs="Calibri" w:eastAsia="Calibri" w:hAnsi="Calibri"/>
          <w:b/>
          <w:bCs/>
          <w:i w:val="false"/>
          <w:iCs w:val="false"/>
          <w:caps w:val="false"/>
          <w:color w:val="1A1A1A"/>
          <w:sz w:val="20"/>
          <w:szCs w:val="20"/>
        </w:rPr>
        <w:t xml:space="preserve">Hyper-personalised down to the call. </w:t>
      </w:r>
      <w:r>
        <w:rPr>
          <w:rFonts w:ascii="Calibri" w:cs="Calibri" w:eastAsia="Calibri" w:hAnsi="Calibri"/>
          <w:b w:val="false"/>
          <w:bCs w:val="false"/>
          <w:i w:val="false"/>
          <w:iCs w:val="false"/>
          <w:caps w:val="false"/>
          <w:color w:val="1A1A1A"/>
          <w:sz w:val="20"/>
          <w:szCs w:val="20"/>
        </w:rPr>
        <w:t xml:space="preserve">Targets, baskets, nudges, and tasks are computed for each store, each rep, each visit — not at a beat or geography level.</w:t>
      </w:r>
    </w:p>
    <w:p>
      <w:pPr>
        <w:pStyle w:val="ListParagraph"/>
        <w:numPr>
          <w:ilvl w:val="0"/>
          <w:numId w:val="2"/>
        </w:numPr>
        <w:spacing w:after="30" w:before="30" w:line="280"/>
      </w:pPr>
      <w:r>
        <w:rPr>
          <w:rFonts w:ascii="Calibri" w:cs="Calibri" w:eastAsia="Calibri" w:hAnsi="Calibri"/>
          <w:b/>
          <w:bCs/>
          <w:i w:val="false"/>
          <w:iCs w:val="false"/>
          <w:caps w:val="false"/>
          <w:color w:val="1A1A1A"/>
          <w:sz w:val="20"/>
          <w:szCs w:val="20"/>
        </w:rPr>
        <w:t xml:space="preserve">Plug-in anything, plug into anything. </w:t>
      </w:r>
      <w:r>
        <w:rPr>
          <w:rFonts w:ascii="Calibri" w:cs="Calibri" w:eastAsia="Calibri" w:hAnsi="Calibri"/>
          <w:b w:val="false"/>
          <w:bCs w:val="false"/>
          <w:i w:val="false"/>
          <w:iCs w:val="false"/>
          <w:caps w:val="false"/>
          <w:color w:val="1A1A1A"/>
          <w:sz w:val="20"/>
          <w:szCs w:val="20"/>
        </w:rPr>
        <w:t xml:space="preserve">Open integration with SAP, banking, fintech, image-recognition, loyalty, wallet, and payment partners — so RCPL can extend without re-platforming.</w:t>
      </w:r>
    </w:p>
    <w:p>
      <w:pPr>
        <w:pBdr>
          <w:bottom w:val="single" w:color="13616E" w:sz="8" w:space="4"/>
        </w:pBdr>
        <w:spacing w:after="120" w:before="280"/>
      </w:pPr>
      <w:r>
        <w:rPr>
          <w:rFonts w:ascii="Calibri" w:cs="Calibri" w:eastAsia="Calibri" w:hAnsi="Calibri"/>
          <w:b/>
          <w:bCs/>
          <w:i w:val="false"/>
          <w:iCs w:val="false"/>
          <w:caps/>
          <w:color w:val="0B2545"/>
          <w:sz w:val="24"/>
          <w:szCs w:val="24"/>
        </w:rPr>
        <w:t xml:space="preserve">Next 6 Months · The AI-Native DMS Platform for RCPL</w:t>
      </w:r>
    </w:p>
    <w:p>
      <w:pPr>
        <w:spacing w:after="60" w:before="120" w:line="290"/>
        <w:jc w:val="left"/>
      </w:pPr>
      <w:r>
        <w:rPr>
          <w:rFonts w:ascii="Calibri" w:cs="Calibri" w:eastAsia="Calibri" w:hAnsi="Calibri"/>
          <w:b w:val="false"/>
          <w:bCs w:val="false"/>
          <w:i w:val="false"/>
          <w:iCs w:val="false"/>
          <w:caps w:val="false"/>
          <w:color w:val="1A1A1A"/>
          <w:sz w:val="20"/>
          <w:szCs w:val="20"/>
        </w:rPr>
        <w:t xml:space="preserve">Over the next six months, we will deliver four integrated layers, each built on RCPL data and owned by RCPL. Together they form the AI-native DMS platform.</w:t>
      </w:r>
    </w:p>
    <w:p>
      <w:pPr>
        <w:spacing w:after="80" w:before="200"/>
      </w:pPr>
      <w:r>
        <w:rPr>
          <w:rFonts w:ascii="Calibri" w:cs="Calibri" w:eastAsia="Calibri" w:hAnsi="Calibri"/>
          <w:b/>
          <w:bCs/>
          <w:i w:val="false"/>
          <w:iCs w:val="false"/>
          <w:caps w:val="false"/>
          <w:color w:val="13616E"/>
          <w:sz w:val="22"/>
          <w:szCs w:val="22"/>
        </w:rPr>
        <w:t xml:space="preserve">Layer 1 · AI Sales Agent — The Intelligent Layer Over SFA</w:t>
      </w:r>
    </w:p>
    <w:p>
      <w:pPr>
        <w:spacing w:after="60" w:before="60" w:line="290"/>
        <w:jc w:val="left"/>
      </w:pPr>
      <w:r>
        <w:rPr>
          <w:rFonts w:ascii="Calibri" w:cs="Calibri" w:eastAsia="Calibri" w:hAnsi="Calibri"/>
          <w:b w:val="false"/>
          <w:bCs w:val="false"/>
          <w:i w:val="false"/>
          <w:iCs w:val="false"/>
          <w:caps w:val="false"/>
          <w:color w:val="1A1A1A"/>
          <w:sz w:val="20"/>
          <w:szCs w:val="20"/>
        </w:rPr>
        <w:t xml:space="preserve">An AI-generated task and incentive engine that plugs into the Saarthi SFA app. Every morning, every sales rep gets a hyper-personalised plan — for each store, for each call — with instant reward points the moment a task is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D5DAE0" w:sz="1"/>
              <w:left w:val="single" w:color="D5DAE0" w:sz="1"/>
              <w:bottom w:val="single" w:color="D5DAE0" w:sz="1"/>
              <w:right w:val="single" w:color="D5DAE0" w:sz="1"/>
            </w:tcBorders>
            <w:shd w:fill="0B2545" w:val="clear"/>
            <w:tcMar>
              <w:top w:type="dxa" w:w="100"/>
              <w:left w:type="dxa" w:w="140"/>
              <w:bottom w:type="dxa" w:w="100"/>
              <w:right w:type="dxa" w:w="140"/>
            </w:tcMar>
          </w:tcPr>
          <w:p>
            <w:pPr>
              <w:spacing w:after="40" w:before="40" w:line="290"/>
              <w:jc w:val="left"/>
            </w:pPr>
            <w:r>
              <w:rPr>
                <w:rFonts w:ascii="Calibri" w:cs="Calibri" w:eastAsia="Calibri" w:hAnsi="Calibri"/>
                <w:b/>
                <w:bCs/>
                <w:i w:val="false"/>
                <w:iCs w:val="false"/>
                <w:caps/>
                <w:color w:val="FFFFFF"/>
                <w:sz w:val="18"/>
                <w:szCs w:val="18"/>
              </w:rPr>
              <w:t xml:space="preserve">Capability</w:t>
            </w:r>
          </w:p>
        </w:tc>
        <w:tc>
          <w:tcPr>
            <w:tcW w:type="dxa" w:w="4360"/>
            <w:tcBorders>
              <w:top w:val="single" w:color="D5DAE0" w:sz="1"/>
              <w:left w:val="single" w:color="D5DAE0" w:sz="1"/>
              <w:bottom w:val="single" w:color="D5DAE0" w:sz="1"/>
              <w:right w:val="single" w:color="D5DAE0" w:sz="1"/>
            </w:tcBorders>
            <w:shd w:fill="0B2545" w:val="clear"/>
            <w:tcMar>
              <w:top w:type="dxa" w:w="100"/>
              <w:left w:type="dxa" w:w="140"/>
              <w:bottom w:type="dxa" w:w="100"/>
              <w:right w:type="dxa" w:w="140"/>
            </w:tcMar>
          </w:tcPr>
          <w:p>
            <w:pPr>
              <w:spacing w:after="40" w:before="40" w:line="290"/>
              <w:jc w:val="left"/>
            </w:pPr>
            <w:r>
              <w:rPr>
                <w:rFonts w:ascii="Calibri" w:cs="Calibri" w:eastAsia="Calibri" w:hAnsi="Calibri"/>
                <w:b/>
                <w:bCs/>
                <w:i w:val="false"/>
                <w:iCs w:val="false"/>
                <w:caps/>
                <w:color w:val="FFFFFF"/>
                <w:sz w:val="18"/>
                <w:szCs w:val="18"/>
              </w:rPr>
              <w:t xml:space="preserve">What it does</w:t>
            </w:r>
          </w:p>
        </w:tc>
        <w:tc>
          <w:tcPr>
            <w:tcW w:type="dxa" w:w="2400"/>
            <w:tcBorders>
              <w:top w:val="single" w:color="D5DAE0" w:sz="1"/>
              <w:left w:val="single" w:color="D5DAE0" w:sz="1"/>
              <w:bottom w:val="single" w:color="D5DAE0" w:sz="1"/>
              <w:right w:val="single" w:color="D5DAE0" w:sz="1"/>
            </w:tcBorders>
            <w:shd w:fill="0B2545" w:val="clear"/>
            <w:tcMar>
              <w:top w:type="dxa" w:w="100"/>
              <w:left w:type="dxa" w:w="140"/>
              <w:bottom w:type="dxa" w:w="100"/>
              <w:right w:type="dxa" w:w="140"/>
            </w:tcMar>
          </w:tcPr>
          <w:p>
            <w:pPr>
              <w:spacing w:after="40" w:before="40" w:line="290"/>
              <w:jc w:val="left"/>
            </w:pPr>
            <w:r>
              <w:rPr>
                <w:rFonts w:ascii="Calibri" w:cs="Calibri" w:eastAsia="Calibri" w:hAnsi="Calibri"/>
                <w:b/>
                <w:bCs/>
                <w:i w:val="false"/>
                <w:iCs w:val="false"/>
                <w:caps/>
                <w:color w:val="FFFFFF"/>
                <w:sz w:val="18"/>
                <w:szCs w:val="18"/>
              </w:rPr>
              <w:t xml:space="preserve">Outcome</w:t>
            </w:r>
          </w:p>
        </w:tc>
      </w:tr>
      <w:tr>
        <w:tc>
          <w:tcPr>
            <w:tcW w:type="dxa" w:w="2600"/>
            <w:tcBorders>
              <w:top w:val="single" w:color="D5DAE0" w:sz="1"/>
              <w:left w:val="single" w:color="D5DAE0" w:sz="1"/>
              <w:bottom w:val="single" w:color="D5DAE0" w:sz="1"/>
              <w:right w:val="single" w:color="D5DAE0" w:sz="1"/>
            </w:tcBorders>
            <w:shd w:fill="F4F6F8" w:val="clear"/>
            <w:tcMar>
              <w:top w:type="dxa" w:w="100"/>
              <w:left w:type="dxa" w:w="140"/>
              <w:bottom w:type="dxa" w:w="100"/>
              <w:right w:type="dxa" w:w="140"/>
            </w:tcMar>
          </w:tcPr>
          <w:p>
            <w:pPr>
              <w:spacing w:after="60" w:before="60" w:line="290"/>
              <w:jc w:val="left"/>
            </w:pPr>
            <w:r>
              <w:rPr>
                <w:rFonts w:ascii="Calibri" w:cs="Calibri" w:eastAsia="Calibri" w:hAnsi="Calibri"/>
                <w:b/>
                <w:bCs/>
                <w:i w:val="false"/>
                <w:iCs w:val="false"/>
                <w:caps w:val="false"/>
                <w:color w:val="1A1A1A"/>
                <w:sz w:val="18"/>
                <w:szCs w:val="18"/>
              </w:rPr>
              <w:t xml:space="preserve">Hyper-personalised Target</w:t>
            </w:r>
          </w:p>
        </w:tc>
        <w:tc>
          <w:tcPr>
            <w:tcW w:type="dxa" w:w="4360"/>
            <w:tcBorders>
              <w:top w:val="single" w:color="D5DAE0" w:sz="1"/>
              <w:left w:val="single" w:color="D5DAE0" w:sz="1"/>
              <w:bottom w:val="single" w:color="D5DAE0" w:sz="1"/>
              <w:right w:val="single" w:color="D5DAE0" w:sz="1"/>
            </w:tcBorders>
            <w:tcMar>
              <w:top w:type="dxa" w:w="100"/>
              <w:left w:type="dxa" w:w="140"/>
              <w:bottom w:type="dxa" w:w="100"/>
              <w:right w:type="dxa" w:w="140"/>
            </w:tcMar>
          </w:tcPr>
          <w:p>
            <w:pPr>
              <w:spacing w:after="60" w:before="60" w:line="290"/>
              <w:jc w:val="left"/>
            </w:pPr>
            <w:r>
              <w:rPr>
                <w:rFonts w:ascii="Calibri" w:cs="Calibri" w:eastAsia="Calibri" w:hAnsi="Calibri"/>
                <w:b w:val="false"/>
                <w:bCs w:val="false"/>
                <w:i w:val="false"/>
                <w:iCs w:val="false"/>
                <w:caps w:val="false"/>
                <w:color w:val="1A1A1A"/>
                <w:sz w:val="18"/>
                <w:szCs w:val="18"/>
              </w:rPr>
              <w:t xml:space="preserve">ML-optimised target for each store, each call — not a flat beat-level number.</w:t>
            </w:r>
          </w:p>
        </w:tc>
        <w:tc>
          <w:tcPr>
            <w:tcW w:type="dxa" w:w="2400"/>
            <w:tcBorders>
              <w:top w:val="single" w:color="D5DAE0" w:sz="1"/>
              <w:left w:val="single" w:color="D5DAE0" w:sz="1"/>
              <w:bottom w:val="single" w:color="D5DAE0" w:sz="1"/>
              <w:right w:val="single" w:color="D5DAE0" w:sz="1"/>
            </w:tcBorders>
            <w:shd w:fill="F4F6F8" w:val="clear"/>
            <w:tcMar>
              <w:top w:type="dxa" w:w="100"/>
              <w:left w:type="dxa" w:w="140"/>
              <w:bottom w:type="dxa" w:w="100"/>
              <w:right w:type="dxa" w:w="140"/>
            </w:tcMar>
          </w:tcPr>
          <w:p>
            <w:pPr>
              <w:spacing w:after="60" w:before="60" w:line="290"/>
              <w:jc w:val="left"/>
            </w:pPr>
            <w:r>
              <w:rPr>
                <w:rFonts w:ascii="Calibri" w:cs="Calibri" w:eastAsia="Calibri" w:hAnsi="Calibri"/>
                <w:b/>
                <w:bCs/>
                <w:i w:val="false"/>
                <w:iCs w:val="false"/>
                <w:caps w:val="false"/>
                <w:color w:val="13616E"/>
                <w:sz w:val="18"/>
                <w:szCs w:val="18"/>
              </w:rPr>
              <w:t xml:space="preserve">Right target, right place</w:t>
            </w:r>
          </w:p>
        </w:tc>
      </w:tr>
      <w:tr>
        <w:tc>
          <w:tcPr>
            <w:tcW w:type="dxa" w:w="2600"/>
            <w:tcBorders>
              <w:top w:val="single" w:color="D5DAE0" w:sz="1"/>
              <w:left w:val="single" w:color="D5DAE0" w:sz="1"/>
              <w:bottom w:val="single" w:color="D5DAE0" w:sz="1"/>
              <w:right w:val="single" w:color="D5DAE0" w:sz="1"/>
            </w:tcBorders>
            <w:shd w:fill="F4F6F8" w:val="clear"/>
            <w:tcMar>
              <w:top w:type="dxa" w:w="100"/>
              <w:left w:type="dxa" w:w="140"/>
              <w:bottom w:type="dxa" w:w="100"/>
              <w:right w:type="dxa" w:w="140"/>
            </w:tcMar>
          </w:tcPr>
          <w:p>
            <w:pPr>
              <w:spacing w:after="60" w:before="60" w:line="290"/>
              <w:jc w:val="left"/>
            </w:pPr>
            <w:r>
              <w:rPr>
                <w:rFonts w:ascii="Calibri" w:cs="Calibri" w:eastAsia="Calibri" w:hAnsi="Calibri"/>
                <w:b/>
                <w:bCs/>
                <w:i w:val="false"/>
                <w:iCs w:val="false"/>
                <w:caps w:val="false"/>
                <w:color w:val="1A1A1A"/>
                <w:sz w:val="18"/>
                <w:szCs w:val="18"/>
              </w:rPr>
              <w:t xml:space="preserve">Hyper-personalised Task</w:t>
            </w:r>
          </w:p>
        </w:tc>
        <w:tc>
          <w:tcPr>
            <w:tcW w:type="dxa" w:w="4360"/>
            <w:tcBorders>
              <w:top w:val="single" w:color="D5DAE0" w:sz="1"/>
              <w:left w:val="single" w:color="D5DAE0" w:sz="1"/>
              <w:bottom w:val="single" w:color="D5DAE0" w:sz="1"/>
              <w:right w:val="single" w:color="D5DAE0" w:sz="1"/>
            </w:tcBorders>
            <w:tcMar>
              <w:top w:type="dxa" w:w="100"/>
              <w:left w:type="dxa" w:w="140"/>
              <w:bottom w:type="dxa" w:w="100"/>
              <w:right w:type="dxa" w:w="140"/>
            </w:tcMar>
          </w:tcPr>
          <w:p>
            <w:pPr>
              <w:spacing w:after="60" w:before="60" w:line="290"/>
              <w:jc w:val="left"/>
            </w:pPr>
            <w:r>
              <w:rPr>
                <w:rFonts w:ascii="Calibri" w:cs="Calibri" w:eastAsia="Calibri" w:hAnsi="Calibri"/>
                <w:b w:val="false"/>
                <w:bCs w:val="false"/>
                <w:i w:val="false"/>
                <w:iCs w:val="false"/>
                <w:caps w:val="false"/>
                <w:color w:val="1A1A1A"/>
                <w:sz w:val="18"/>
                <w:szCs w:val="18"/>
              </w:rPr>
              <w:t xml:space="preserve">Execution tasks generated per store, per visit — focus SKUs, visibility, scheme push, recovery actions.</w:t>
            </w:r>
          </w:p>
        </w:tc>
        <w:tc>
          <w:tcPr>
            <w:tcW w:type="dxa" w:w="2400"/>
            <w:tcBorders>
              <w:top w:val="single" w:color="D5DAE0" w:sz="1"/>
              <w:left w:val="single" w:color="D5DAE0" w:sz="1"/>
              <w:bottom w:val="single" w:color="D5DAE0" w:sz="1"/>
              <w:right w:val="single" w:color="D5DAE0" w:sz="1"/>
            </w:tcBorders>
            <w:shd w:fill="F4F6F8" w:val="clear"/>
            <w:tcMar>
              <w:top w:type="dxa" w:w="100"/>
              <w:left w:type="dxa" w:w="140"/>
              <w:bottom w:type="dxa" w:w="100"/>
              <w:right w:type="dxa" w:w="140"/>
            </w:tcMar>
          </w:tcPr>
          <w:p>
            <w:pPr>
              <w:spacing w:after="60" w:before="60" w:line="290"/>
              <w:jc w:val="left"/>
            </w:pPr>
            <w:r>
              <w:rPr>
                <w:rFonts w:ascii="Calibri" w:cs="Calibri" w:eastAsia="Calibri" w:hAnsi="Calibri"/>
                <w:b/>
                <w:bCs/>
                <w:i w:val="false"/>
                <w:iCs w:val="false"/>
                <w:caps w:val="false"/>
                <w:color w:val="13616E"/>
                <w:sz w:val="18"/>
                <w:szCs w:val="18"/>
              </w:rPr>
              <w:t xml:space="preserve">Sharper field execution</w:t>
            </w:r>
          </w:p>
        </w:tc>
      </w:tr>
      <w:tr>
        <w:tc>
          <w:tcPr>
            <w:tcW w:type="dxa" w:w="2600"/>
            <w:tcBorders>
              <w:top w:val="single" w:color="D5DAE0" w:sz="1"/>
              <w:left w:val="single" w:color="D5DAE0" w:sz="1"/>
              <w:bottom w:val="single" w:color="D5DAE0" w:sz="1"/>
              <w:right w:val="single" w:color="D5DAE0" w:sz="1"/>
            </w:tcBorders>
            <w:shd w:fill="F4F6F8" w:val="clear"/>
            <w:tcMar>
              <w:top w:type="dxa" w:w="100"/>
              <w:left w:type="dxa" w:w="140"/>
              <w:bottom w:type="dxa" w:w="100"/>
              <w:right w:type="dxa" w:w="140"/>
            </w:tcMar>
          </w:tcPr>
          <w:p>
            <w:pPr>
              <w:spacing w:after="60" w:before="60" w:line="290"/>
              <w:jc w:val="left"/>
            </w:pPr>
            <w:r>
              <w:rPr>
                <w:rFonts w:ascii="Calibri" w:cs="Calibri" w:eastAsia="Calibri" w:hAnsi="Calibri"/>
                <w:b/>
                <w:bCs/>
                <w:i w:val="false"/>
                <w:iCs w:val="false"/>
                <w:caps w:val="false"/>
                <w:color w:val="1A1A1A"/>
                <w:sz w:val="18"/>
                <w:szCs w:val="18"/>
              </w:rPr>
              <w:t xml:space="preserve">Task-based Incentive</w:t>
            </w:r>
          </w:p>
        </w:tc>
        <w:tc>
          <w:tcPr>
            <w:tcW w:type="dxa" w:w="4360"/>
            <w:tcBorders>
              <w:top w:val="single" w:color="D5DAE0" w:sz="1"/>
              <w:left w:val="single" w:color="D5DAE0" w:sz="1"/>
              <w:bottom w:val="single" w:color="D5DAE0" w:sz="1"/>
              <w:right w:val="single" w:color="D5DAE0" w:sz="1"/>
            </w:tcBorders>
            <w:tcMar>
              <w:top w:type="dxa" w:w="100"/>
              <w:left w:type="dxa" w:w="140"/>
              <w:bottom w:type="dxa" w:w="100"/>
              <w:right w:type="dxa" w:w="140"/>
            </w:tcMar>
          </w:tcPr>
          <w:p>
            <w:pPr>
              <w:spacing w:after="60" w:before="60" w:line="290"/>
              <w:jc w:val="left"/>
            </w:pPr>
            <w:r>
              <w:rPr>
                <w:rFonts w:ascii="Calibri" w:cs="Calibri" w:eastAsia="Calibri" w:hAnsi="Calibri"/>
                <w:b w:val="false"/>
                <w:bCs w:val="false"/>
                <w:i w:val="false"/>
                <w:iCs w:val="false"/>
                <w:caps w:val="false"/>
                <w:color w:val="1A1A1A"/>
                <w:sz w:val="18"/>
                <w:szCs w:val="18"/>
              </w:rPr>
              <w:t xml:space="preserve">Instant reward points the moment a task is completed — gamified, transparent, daily.</w:t>
            </w:r>
          </w:p>
        </w:tc>
        <w:tc>
          <w:tcPr>
            <w:tcW w:type="dxa" w:w="2400"/>
            <w:tcBorders>
              <w:top w:val="single" w:color="D5DAE0" w:sz="1"/>
              <w:left w:val="single" w:color="D5DAE0" w:sz="1"/>
              <w:bottom w:val="single" w:color="D5DAE0" w:sz="1"/>
              <w:right w:val="single" w:color="D5DAE0" w:sz="1"/>
            </w:tcBorders>
            <w:shd w:fill="F4F6F8" w:val="clear"/>
            <w:tcMar>
              <w:top w:type="dxa" w:w="100"/>
              <w:left w:type="dxa" w:w="140"/>
              <w:bottom w:type="dxa" w:w="100"/>
              <w:right w:type="dxa" w:w="140"/>
            </w:tcMar>
          </w:tcPr>
          <w:p>
            <w:pPr>
              <w:spacing w:after="60" w:before="60" w:line="290"/>
              <w:jc w:val="left"/>
            </w:pPr>
            <w:r>
              <w:rPr>
                <w:rFonts w:ascii="Calibri" w:cs="Calibri" w:eastAsia="Calibri" w:hAnsi="Calibri"/>
                <w:b/>
                <w:bCs/>
                <w:i w:val="false"/>
                <w:iCs w:val="false"/>
                <w:caps w:val="false"/>
                <w:color w:val="13616E"/>
                <w:sz w:val="18"/>
                <w:szCs w:val="18"/>
              </w:rPr>
              <w:t xml:space="preserve">Drives the right action, every call</w:t>
            </w:r>
          </w:p>
        </w:tc>
      </w:tr>
      <w:tr>
        <w:tc>
          <w:tcPr>
            <w:tcW w:type="dxa" w:w="2600"/>
            <w:tcBorders>
              <w:top w:val="single" w:color="D5DAE0" w:sz="1"/>
              <w:left w:val="single" w:color="D5DAE0" w:sz="1"/>
              <w:bottom w:val="single" w:color="D5DAE0" w:sz="1"/>
              <w:right w:val="single" w:color="D5DAE0" w:sz="1"/>
            </w:tcBorders>
            <w:shd w:fill="F4F6F8" w:val="clear"/>
            <w:tcMar>
              <w:top w:type="dxa" w:w="100"/>
              <w:left w:type="dxa" w:w="140"/>
              <w:bottom w:type="dxa" w:w="100"/>
              <w:right w:type="dxa" w:w="140"/>
            </w:tcMar>
          </w:tcPr>
          <w:p>
            <w:pPr>
              <w:spacing w:after="60" w:before="60" w:line="290"/>
              <w:jc w:val="left"/>
            </w:pPr>
            <w:r>
              <w:rPr>
                <w:rFonts w:ascii="Calibri" w:cs="Calibri" w:eastAsia="Calibri" w:hAnsi="Calibri"/>
                <w:b/>
                <w:bCs/>
                <w:i w:val="false"/>
                <w:iCs w:val="false"/>
                <w:caps w:val="false"/>
                <w:color w:val="1A1A1A"/>
                <w:sz w:val="18"/>
                <w:szCs w:val="18"/>
              </w:rPr>
              <w:t xml:space="preserve">Sales Uplift</w:t>
            </w:r>
          </w:p>
        </w:tc>
        <w:tc>
          <w:tcPr>
            <w:tcW w:type="dxa" w:w="4360"/>
            <w:tcBorders>
              <w:top w:val="single" w:color="D5DAE0" w:sz="1"/>
              <w:left w:val="single" w:color="D5DAE0" w:sz="1"/>
              <w:bottom w:val="single" w:color="D5DAE0" w:sz="1"/>
              <w:right w:val="single" w:color="D5DAE0" w:sz="1"/>
            </w:tcBorders>
            <w:tcMar>
              <w:top w:type="dxa" w:w="100"/>
              <w:left w:type="dxa" w:w="140"/>
              <w:bottom w:type="dxa" w:w="100"/>
              <w:right w:type="dxa" w:w="140"/>
            </w:tcMar>
          </w:tcPr>
          <w:p>
            <w:pPr>
              <w:spacing w:after="60" w:before="60" w:line="290"/>
              <w:jc w:val="left"/>
            </w:pPr>
            <w:r>
              <w:rPr>
                <w:rFonts w:ascii="Calibri" w:cs="Calibri" w:eastAsia="Calibri" w:hAnsi="Calibri"/>
                <w:b w:val="false"/>
                <w:bCs w:val="false"/>
                <w:i w:val="false"/>
                <w:iCs w:val="false"/>
                <w:caps w:val="false"/>
                <w:color w:val="1A1A1A"/>
                <w:sz w:val="18"/>
                <w:szCs w:val="18"/>
              </w:rPr>
              <w:t xml:space="preserve">Closed-loop measurement of task → action → outcome at the store level.</w:t>
            </w:r>
          </w:p>
        </w:tc>
        <w:tc>
          <w:tcPr>
            <w:tcW w:type="dxa" w:w="2400"/>
            <w:tcBorders>
              <w:top w:val="single" w:color="D5DAE0" w:sz="1"/>
              <w:left w:val="single" w:color="D5DAE0" w:sz="1"/>
              <w:bottom w:val="single" w:color="D5DAE0" w:sz="1"/>
              <w:right w:val="single" w:color="D5DAE0" w:sz="1"/>
            </w:tcBorders>
            <w:shd w:fill="F4F6F8" w:val="clear"/>
            <w:tcMar>
              <w:top w:type="dxa" w:w="100"/>
              <w:left w:type="dxa" w:w="140"/>
              <w:bottom w:type="dxa" w:w="100"/>
              <w:right w:type="dxa" w:w="140"/>
            </w:tcMar>
          </w:tcPr>
          <w:p>
            <w:pPr>
              <w:spacing w:after="60" w:before="60" w:line="290"/>
              <w:jc w:val="left"/>
            </w:pPr>
            <w:r>
              <w:rPr>
                <w:rFonts w:ascii="Calibri" w:cs="Calibri" w:eastAsia="Calibri" w:hAnsi="Calibri"/>
                <w:b/>
                <w:bCs/>
                <w:i w:val="false"/>
                <w:iCs w:val="false"/>
                <w:caps w:val="false"/>
                <w:color w:val="13616E"/>
                <w:sz w:val="18"/>
                <w:szCs w:val="18"/>
              </w:rPr>
              <w:t xml:space="preserve">3–8% sales uplift per store</w:t>
            </w:r>
          </w:p>
        </w:tc>
      </w:tr>
      <w:tr>
        <w:tc>
          <w:tcPr>
            <w:tcW w:type="dxa" w:w="2600"/>
            <w:tcBorders>
              <w:top w:val="single" w:color="D5DAE0" w:sz="1"/>
              <w:left w:val="single" w:color="D5DAE0" w:sz="1"/>
              <w:bottom w:val="single" w:color="D5DAE0" w:sz="1"/>
              <w:right w:val="single" w:color="D5DAE0" w:sz="1"/>
            </w:tcBorders>
            <w:shd w:fill="F4F6F8" w:val="clear"/>
            <w:tcMar>
              <w:top w:type="dxa" w:w="100"/>
              <w:left w:type="dxa" w:w="140"/>
              <w:bottom w:type="dxa" w:w="100"/>
              <w:right w:type="dxa" w:w="140"/>
            </w:tcMar>
          </w:tcPr>
          <w:p>
            <w:pPr>
              <w:spacing w:after="60" w:before="60" w:line="290"/>
              <w:jc w:val="left"/>
            </w:pPr>
            <w:r>
              <w:rPr>
                <w:rFonts w:ascii="Calibri" w:cs="Calibri" w:eastAsia="Calibri" w:hAnsi="Calibri"/>
                <w:b/>
                <w:bCs/>
                <w:i w:val="false"/>
                <w:iCs w:val="false"/>
                <w:caps w:val="false"/>
                <w:color w:val="1A1A1A"/>
                <w:sz w:val="18"/>
                <w:szCs w:val="18"/>
              </w:rPr>
              <w:t xml:space="preserve">Intelligent Order Prediction</w:t>
            </w:r>
          </w:p>
        </w:tc>
        <w:tc>
          <w:tcPr>
            <w:tcW w:type="dxa" w:w="4360"/>
            <w:tcBorders>
              <w:top w:val="single" w:color="D5DAE0" w:sz="1"/>
              <w:left w:val="single" w:color="D5DAE0" w:sz="1"/>
              <w:bottom w:val="single" w:color="D5DAE0" w:sz="1"/>
              <w:right w:val="single" w:color="D5DAE0" w:sz="1"/>
            </w:tcBorders>
            <w:tcMar>
              <w:top w:type="dxa" w:w="100"/>
              <w:left w:type="dxa" w:w="140"/>
              <w:bottom w:type="dxa" w:w="100"/>
              <w:right w:type="dxa" w:w="140"/>
            </w:tcMar>
          </w:tcPr>
          <w:p>
            <w:pPr>
              <w:spacing w:after="60" w:before="60" w:line="290"/>
              <w:jc w:val="left"/>
            </w:pPr>
            <w:r>
              <w:rPr>
                <w:rFonts w:ascii="Calibri" w:cs="Calibri" w:eastAsia="Calibri" w:hAnsi="Calibri"/>
                <w:b w:val="false"/>
                <w:bCs w:val="false"/>
                <w:i w:val="false"/>
                <w:iCs w:val="false"/>
                <w:caps w:val="false"/>
                <w:color w:val="1A1A1A"/>
                <w:sz w:val="18"/>
                <w:szCs w:val="18"/>
              </w:rPr>
              <w:t xml:space="preserve">One-click ready order — ML predicts the basket the rep should propose at this store today.</w:t>
            </w:r>
          </w:p>
        </w:tc>
        <w:tc>
          <w:tcPr>
            <w:tcW w:type="dxa" w:w="2400"/>
            <w:tcBorders>
              <w:top w:val="single" w:color="D5DAE0" w:sz="1"/>
              <w:left w:val="single" w:color="D5DAE0" w:sz="1"/>
              <w:bottom w:val="single" w:color="D5DAE0" w:sz="1"/>
              <w:right w:val="single" w:color="D5DAE0" w:sz="1"/>
            </w:tcBorders>
            <w:shd w:fill="F4F6F8" w:val="clear"/>
            <w:tcMar>
              <w:top w:type="dxa" w:w="100"/>
              <w:left w:type="dxa" w:w="140"/>
              <w:bottom w:type="dxa" w:w="100"/>
              <w:right w:type="dxa" w:w="140"/>
            </w:tcMar>
          </w:tcPr>
          <w:p>
            <w:pPr>
              <w:spacing w:after="60" w:before="60" w:line="290"/>
              <w:jc w:val="left"/>
            </w:pPr>
            <w:r>
              <w:rPr>
                <w:rFonts w:ascii="Calibri" w:cs="Calibri" w:eastAsia="Calibri" w:hAnsi="Calibri"/>
                <w:b/>
                <w:bCs/>
                <w:i w:val="false"/>
                <w:iCs w:val="false"/>
                <w:caps w:val="false"/>
                <w:color w:val="13616E"/>
                <w:sz w:val="18"/>
                <w:szCs w:val="18"/>
              </w:rPr>
              <w:t xml:space="preserve">AOV up 8–12%</w:t>
            </w:r>
          </w:p>
        </w:tc>
      </w:tr>
      <w:tr>
        <w:tc>
          <w:tcPr>
            <w:tcW w:type="dxa" w:w="2600"/>
            <w:tcBorders>
              <w:top w:val="single" w:color="D5DAE0" w:sz="1"/>
              <w:left w:val="single" w:color="D5DAE0" w:sz="1"/>
              <w:bottom w:val="single" w:color="D5DAE0" w:sz="1"/>
              <w:right w:val="single" w:color="D5DAE0" w:sz="1"/>
            </w:tcBorders>
            <w:shd w:fill="F4F6F8" w:val="clear"/>
            <w:tcMar>
              <w:top w:type="dxa" w:w="100"/>
              <w:left w:type="dxa" w:w="140"/>
              <w:bottom w:type="dxa" w:w="100"/>
              <w:right w:type="dxa" w:w="140"/>
            </w:tcMar>
          </w:tcPr>
          <w:p>
            <w:pPr>
              <w:spacing w:after="60" w:before="60" w:line="290"/>
              <w:jc w:val="left"/>
            </w:pPr>
            <w:r>
              <w:rPr>
                <w:rFonts w:ascii="Calibri" w:cs="Calibri" w:eastAsia="Calibri" w:hAnsi="Calibri"/>
                <w:b/>
                <w:bCs/>
                <w:i w:val="false"/>
                <w:iCs w:val="false"/>
                <w:caps w:val="false"/>
                <w:color w:val="1A1A1A"/>
                <w:sz w:val="18"/>
                <w:szCs w:val="18"/>
              </w:rPr>
              <w:t xml:space="preserve">Intelligent Engagement</w:t>
            </w:r>
          </w:p>
        </w:tc>
        <w:tc>
          <w:tcPr>
            <w:tcW w:type="dxa" w:w="4360"/>
            <w:tcBorders>
              <w:top w:val="single" w:color="D5DAE0" w:sz="1"/>
              <w:left w:val="single" w:color="D5DAE0" w:sz="1"/>
              <w:bottom w:val="single" w:color="D5DAE0" w:sz="1"/>
              <w:right w:val="single" w:color="D5DAE0" w:sz="1"/>
            </w:tcBorders>
            <w:tcMar>
              <w:top w:type="dxa" w:w="100"/>
              <w:left w:type="dxa" w:w="140"/>
              <w:bottom w:type="dxa" w:w="100"/>
              <w:right w:type="dxa" w:w="140"/>
            </w:tcMar>
          </w:tcPr>
          <w:p>
            <w:pPr>
              <w:spacing w:after="60" w:before="60" w:line="290"/>
              <w:jc w:val="left"/>
            </w:pPr>
            <w:r>
              <w:rPr>
                <w:rFonts w:ascii="Calibri" w:cs="Calibri" w:eastAsia="Calibri" w:hAnsi="Calibri"/>
                <w:b w:val="false"/>
                <w:bCs w:val="false"/>
                <w:i w:val="false"/>
                <w:iCs w:val="false"/>
                <w:caps w:val="false"/>
                <w:color w:val="1A1A1A"/>
                <w:sz w:val="18"/>
                <w:szCs w:val="18"/>
              </w:rPr>
              <w:t xml:space="preserve">Personalised nudges to the rep and to the retailer — timed, contextual, action-oriented.</w:t>
            </w:r>
          </w:p>
        </w:tc>
        <w:tc>
          <w:tcPr>
            <w:tcW w:type="dxa" w:w="2400"/>
            <w:tcBorders>
              <w:top w:val="single" w:color="D5DAE0" w:sz="1"/>
              <w:left w:val="single" w:color="D5DAE0" w:sz="1"/>
              <w:bottom w:val="single" w:color="D5DAE0" w:sz="1"/>
              <w:right w:val="single" w:color="D5DAE0" w:sz="1"/>
            </w:tcBorders>
            <w:shd w:fill="F4F6F8" w:val="clear"/>
            <w:tcMar>
              <w:top w:type="dxa" w:w="100"/>
              <w:left w:type="dxa" w:w="140"/>
              <w:bottom w:type="dxa" w:w="100"/>
              <w:right w:type="dxa" w:w="140"/>
            </w:tcMar>
          </w:tcPr>
          <w:p>
            <w:pPr>
              <w:spacing w:after="60" w:before="60" w:line="290"/>
              <w:jc w:val="left"/>
            </w:pPr>
            <w:r>
              <w:rPr>
                <w:rFonts w:ascii="Calibri" w:cs="Calibri" w:eastAsia="Calibri" w:hAnsi="Calibri"/>
                <w:b/>
                <w:bCs/>
                <w:i w:val="false"/>
                <w:iCs w:val="false"/>
                <w:caps w:val="false"/>
                <w:color w:val="13616E"/>
                <w:sz w:val="18"/>
                <w:szCs w:val="18"/>
              </w:rPr>
              <w:t xml:space="preserve">30–50% higher engagement; 3–5% more transactions</w:t>
            </w:r>
          </w:p>
        </w:tc>
      </w:tr>
    </w:tbl>
    <w:p>
      <w:pPr>
        <w:spacing w:after="80" w:before="200"/>
      </w:pPr>
      <w:r>
        <w:rPr>
          <w:rFonts w:ascii="Calibri" w:cs="Calibri" w:eastAsia="Calibri" w:hAnsi="Calibri"/>
          <w:b/>
          <w:bCs/>
          <w:i w:val="false"/>
          <w:iCs w:val="false"/>
          <w:caps w:val="false"/>
          <w:color w:val="13616E"/>
          <w:sz w:val="22"/>
          <w:szCs w:val="22"/>
        </w:rPr>
        <w:t xml:space="preserve">Layer 2 · NextGen SFA — The Field Force Operating Layer</w:t>
      </w:r>
    </w:p>
    <w:p>
      <w:pPr>
        <w:spacing w:after="60" w:before="60" w:line="290"/>
        <w:jc w:val="left"/>
      </w:pPr>
      <w:r>
        <w:rPr>
          <w:rFonts w:ascii="Calibri" w:cs="Calibri" w:eastAsia="Calibri" w:hAnsi="Calibri"/>
          <w:b w:val="false"/>
          <w:bCs w:val="false"/>
          <w:i w:val="false"/>
          <w:iCs w:val="false"/>
          <w:caps w:val="false"/>
          <w:color w:val="1A1A1A"/>
          <w:sz w:val="20"/>
          <w:szCs w:val="20"/>
        </w:rPr>
        <w:t xml:space="preserve">Saarthi evolves from a transaction app to a decision app. The NextGen SFA stack adds intelligent baskets, conversational ordering, and a plug-in fabric so the field experience matches the AI Sales Agent above it.</w:t>
      </w:r>
    </w:p>
    <w:p>
      <w:pPr>
        <w:pStyle w:val="ListParagraph"/>
        <w:numPr>
          <w:ilvl w:val="0"/>
          <w:numId w:val="2"/>
        </w:numPr>
        <w:spacing w:after="30" w:before="30" w:line="280"/>
      </w:pPr>
      <w:r>
        <w:rPr>
          <w:rFonts w:ascii="Calibri" w:cs="Calibri" w:eastAsia="Calibri" w:hAnsi="Calibri"/>
          <w:b/>
          <w:bCs/>
          <w:i w:val="false"/>
          <w:iCs w:val="false"/>
          <w:caps w:val="false"/>
          <w:color w:val="1A1A1A"/>
          <w:sz w:val="20"/>
          <w:szCs w:val="20"/>
        </w:rPr>
        <w:t xml:space="preserve">Intelligent Interface · </w:t>
      </w:r>
      <w:r>
        <w:rPr>
          <w:rFonts w:ascii="Calibri" w:cs="Calibri" w:eastAsia="Calibri" w:hAnsi="Calibri"/>
          <w:b w:val="false"/>
          <w:bCs w:val="false"/>
          <w:i w:val="false"/>
          <w:iCs w:val="false"/>
          <w:caps w:val="false"/>
          <w:color w:val="1A1A1A"/>
          <w:sz w:val="20"/>
          <w:szCs w:val="20"/>
        </w:rPr>
        <w:t xml:space="preserve">Intelligent search, text and voice ordering, multi-channel reach across WhatsApp, PWA, and the mobile app — designed to drive 30%+ higher adoption among CSOs and retailers.</w:t>
      </w:r>
    </w:p>
    <w:p>
      <w:pPr>
        <w:pStyle w:val="ListParagraph"/>
        <w:numPr>
          <w:ilvl w:val="0"/>
          <w:numId w:val="2"/>
        </w:numPr>
        <w:spacing w:after="30" w:before="30" w:line="280"/>
      </w:pPr>
      <w:r>
        <w:rPr>
          <w:rFonts w:ascii="Calibri" w:cs="Calibri" w:eastAsia="Calibri" w:hAnsi="Calibri"/>
          <w:b/>
          <w:bCs/>
          <w:i w:val="false"/>
          <w:iCs w:val="false"/>
          <w:caps w:val="false"/>
          <w:color w:val="1A1A1A"/>
          <w:sz w:val="20"/>
          <w:szCs w:val="20"/>
        </w:rPr>
        <w:t xml:space="preserve">Intelligent Product Baskets · </w:t>
      </w:r>
      <w:r>
        <w:rPr>
          <w:rFonts w:ascii="Calibri" w:cs="Calibri" w:eastAsia="Calibri" w:hAnsi="Calibri"/>
          <w:b w:val="false"/>
          <w:bCs w:val="false"/>
          <w:i w:val="false"/>
          <w:iCs w:val="false"/>
          <w:caps w:val="false"/>
          <w:color w:val="1A1A1A"/>
          <w:sz w:val="20"/>
          <w:szCs w:val="20"/>
        </w:rPr>
        <w:t xml:space="preserve">ML-based hyper-personalised ready baskets per outlet — to lift focus and premium-product distribution by 5–18% across the portfolio.</w:t>
      </w:r>
    </w:p>
    <w:p>
      <w:pPr>
        <w:pStyle w:val="ListParagraph"/>
        <w:numPr>
          <w:ilvl w:val="0"/>
          <w:numId w:val="2"/>
        </w:numPr>
        <w:spacing w:after="30" w:before="30" w:line="280"/>
      </w:pPr>
      <w:r>
        <w:rPr>
          <w:rFonts w:ascii="Calibri" w:cs="Calibri" w:eastAsia="Calibri" w:hAnsi="Calibri"/>
          <w:b/>
          <w:bCs/>
          <w:i w:val="false"/>
          <w:iCs w:val="false"/>
          <w:caps w:val="false"/>
          <w:color w:val="1A1A1A"/>
          <w:sz w:val="20"/>
          <w:szCs w:val="20"/>
        </w:rPr>
        <w:t xml:space="preserve">Plug-in Fabric · </w:t>
      </w:r>
      <w:r>
        <w:rPr>
          <w:rFonts w:ascii="Calibri" w:cs="Calibri" w:eastAsia="Calibri" w:hAnsi="Calibri"/>
          <w:b w:val="false"/>
          <w:bCs w:val="false"/>
          <w:i w:val="false"/>
          <w:iCs w:val="false"/>
          <w:caps w:val="false"/>
          <w:color w:val="1A1A1A"/>
          <w:sz w:val="20"/>
          <w:szCs w:val="20"/>
        </w:rPr>
        <w:t xml:space="preserve">Native, audited integration with SAP, image recognition for visibility/share-of-shelf, inventory management, loyalty, wallet, payment, and lending partners — so RCPL can extend the SFA without re-platforming.</w:t>
      </w:r>
    </w:p>
    <w:p>
      <w:pPr>
        <w:pStyle w:val="ListParagraph"/>
        <w:numPr>
          <w:ilvl w:val="0"/>
          <w:numId w:val="2"/>
        </w:numPr>
        <w:spacing w:after="30" w:before="30" w:line="280"/>
      </w:pPr>
      <w:r>
        <w:rPr>
          <w:rFonts w:ascii="Calibri" w:cs="Calibri" w:eastAsia="Calibri" w:hAnsi="Calibri"/>
          <w:b/>
          <w:bCs/>
          <w:i w:val="false"/>
          <w:iCs w:val="false"/>
          <w:caps w:val="false"/>
          <w:color w:val="1A1A1A"/>
          <w:sz w:val="20"/>
          <w:szCs w:val="20"/>
        </w:rPr>
        <w:t xml:space="preserve">Beat &amp; Manager Layer · </w:t>
      </w:r>
      <w:r>
        <w:rPr>
          <w:rFonts w:ascii="Calibri" w:cs="Calibri" w:eastAsia="Calibri" w:hAnsi="Calibri"/>
          <w:b w:val="false"/>
          <w:bCs w:val="false"/>
          <w:i w:val="false"/>
          <w:iCs w:val="false"/>
          <w:caps w:val="false"/>
          <w:color w:val="1A1A1A"/>
          <w:sz w:val="20"/>
          <w:szCs w:val="20"/>
        </w:rPr>
        <w:t xml:space="preserve">Beat management, multi-segment distributor mapping, CSO Managerial App, target-view, and CSO performance dashboards — already on the in-flight roadmap, now stitched into the AI layer.</w:t>
      </w:r>
    </w:p>
    <w:p>
      <w:pPr>
        <w:spacing w:after="80" w:before="200"/>
      </w:pPr>
      <w:r>
        <w:rPr>
          <w:rFonts w:ascii="Calibri" w:cs="Calibri" w:eastAsia="Calibri" w:hAnsi="Calibri"/>
          <w:b/>
          <w:bCs/>
          <w:i w:val="false"/>
          <w:iCs w:val="false"/>
          <w:caps w:val="false"/>
          <w:color w:val="13616E"/>
          <w:sz w:val="22"/>
          <w:szCs w:val="22"/>
        </w:rPr>
        <w:t xml:space="preserve">Layer 3 · NextGen DMS — The AI-Augmented Distributor Layer</w:t>
      </w:r>
    </w:p>
    <w:p>
      <w:pPr>
        <w:spacing w:after="60" w:before="60" w:line="290"/>
        <w:jc w:val="left"/>
      </w:pPr>
      <w:r>
        <w:rPr>
          <w:rFonts w:ascii="Calibri" w:cs="Calibri" w:eastAsia="Calibri" w:hAnsi="Calibri"/>
          <w:b w:val="false"/>
          <w:bCs w:val="false"/>
          <w:i w:val="false"/>
          <w:iCs w:val="false"/>
          <w:caps w:val="false"/>
          <w:color w:val="1A1A1A"/>
          <w:sz w:val="20"/>
          <w:szCs w:val="20"/>
        </w:rPr>
        <w:t xml:space="preserve">The Distributor Management System becomes an AI-augmented automation system. The intent is to remove the age-old inefficiencies of traditional DMS — manual operators, stockouts, broken credit cycles, slow loadouts — and put intelligence at the centre.</w:t>
      </w:r>
    </w:p>
    <w:p>
      <w:pPr>
        <w:spacing w:after="60" w:before="120" w:line="290"/>
        <w:jc w:val="left"/>
      </w:pPr>
      <w:r>
        <w:rPr>
          <w:rFonts w:ascii="Calibri" w:cs="Calibri" w:eastAsia="Calibri" w:hAnsi="Calibri"/>
          <w:b/>
          <w:bCs/>
          <w:i w:val="false"/>
          <w:iCs w:val="false"/>
          <w:caps w:val="false"/>
          <w:color w:val="0B2545"/>
          <w:sz w:val="20"/>
          <w:szCs w:val="20"/>
        </w:rPr>
        <w:t xml:space="preserve">Intelligence for sales and inventory:</w:t>
      </w:r>
    </w:p>
    <w:p>
      <w:pPr>
        <w:pStyle w:val="ListParagraph"/>
        <w:numPr>
          <w:ilvl w:val="0"/>
          <w:numId w:val="2"/>
        </w:numPr>
        <w:spacing w:after="30" w:before="30" w:line="280"/>
      </w:pPr>
      <w:r>
        <w:rPr>
          <w:rFonts w:ascii="Calibri" w:cs="Calibri" w:eastAsia="Calibri" w:hAnsi="Calibri"/>
          <w:b/>
          <w:bCs/>
          <w:i w:val="false"/>
          <w:iCs w:val="false"/>
          <w:caps w:val="false"/>
          <w:color w:val="1A1A1A"/>
          <w:sz w:val="20"/>
          <w:szCs w:val="20"/>
        </w:rPr>
        <w:t xml:space="preserve">Secondary Order Prediction </w:t>
      </w:r>
      <w:r>
        <w:rPr>
          <w:rFonts w:ascii="Calibri" w:cs="Calibri" w:eastAsia="Calibri" w:hAnsi="Calibri"/>
          <w:b w:val="false"/>
          <w:bCs w:val="false"/>
          <w:i w:val="false"/>
          <w:iCs w:val="false"/>
          <w:caps w:val="false"/>
          <w:color w:val="1A1A1A"/>
          <w:sz w:val="20"/>
          <w:szCs w:val="20"/>
        </w:rPr>
        <w:t xml:space="preserve">— so distributors plan inventory and working capital to maximise monthly sales achievement.</w:t>
      </w:r>
    </w:p>
    <w:p>
      <w:pPr>
        <w:pStyle w:val="ListParagraph"/>
        <w:numPr>
          <w:ilvl w:val="0"/>
          <w:numId w:val="2"/>
        </w:numPr>
        <w:spacing w:after="30" w:before="30" w:line="280"/>
      </w:pPr>
      <w:r>
        <w:rPr>
          <w:rFonts w:ascii="Calibri" w:cs="Calibri" w:eastAsia="Calibri" w:hAnsi="Calibri"/>
          <w:b/>
          <w:bCs/>
          <w:i w:val="false"/>
          <w:iCs w:val="false"/>
          <w:caps w:val="false"/>
          <w:color w:val="1A1A1A"/>
          <w:sz w:val="20"/>
          <w:szCs w:val="20"/>
        </w:rPr>
        <w:t xml:space="preserve">Stock-out Prediction &amp; Alerts </w:t>
      </w:r>
      <w:r>
        <w:rPr>
          <w:rFonts w:ascii="Calibri" w:cs="Calibri" w:eastAsia="Calibri" w:hAnsi="Calibri"/>
          <w:b w:val="false"/>
          <w:bCs w:val="false"/>
          <w:i w:val="false"/>
          <w:iCs w:val="false"/>
          <w:caps w:val="false"/>
          <w:color w:val="1A1A1A"/>
          <w:sz w:val="20"/>
          <w:szCs w:val="20"/>
        </w:rPr>
        <w:t xml:space="preserve">— SKU-level early warnings to cut sales loss.</w:t>
      </w:r>
    </w:p>
    <w:p>
      <w:pPr>
        <w:pStyle w:val="ListParagraph"/>
        <w:numPr>
          <w:ilvl w:val="0"/>
          <w:numId w:val="2"/>
        </w:numPr>
        <w:spacing w:after="30" w:before="30" w:line="280"/>
      </w:pPr>
      <w:r>
        <w:rPr>
          <w:rFonts w:ascii="Calibri" w:cs="Calibri" w:eastAsia="Calibri" w:hAnsi="Calibri"/>
          <w:b/>
          <w:bCs/>
          <w:i w:val="false"/>
          <w:iCs w:val="false"/>
          <w:caps w:val="false"/>
          <w:color w:val="1A1A1A"/>
          <w:sz w:val="20"/>
          <w:szCs w:val="20"/>
        </w:rPr>
        <w:t xml:space="preserve">Primary Order Recommendation </w:t>
      </w:r>
      <w:r>
        <w:rPr>
          <w:rFonts w:ascii="Calibri" w:cs="Calibri" w:eastAsia="Calibri" w:hAnsi="Calibri"/>
          <w:b w:val="false"/>
          <w:bCs w:val="false"/>
          <w:i w:val="false"/>
          <w:iCs w:val="false"/>
          <w:caps w:val="false"/>
          <w:color w:val="1A1A1A"/>
          <w:sz w:val="20"/>
          <w:szCs w:val="20"/>
        </w:rPr>
        <w:t xml:space="preserve">— auto-suggested primary based on predicted secondary, stock level, order cycle, and fulfilment time.</w:t>
      </w:r>
    </w:p>
    <w:p>
      <w:pPr>
        <w:pStyle w:val="ListParagraph"/>
        <w:numPr>
          <w:ilvl w:val="0"/>
          <w:numId w:val="2"/>
        </w:numPr>
        <w:spacing w:after="30" w:before="30" w:line="280"/>
      </w:pPr>
      <w:r>
        <w:rPr>
          <w:rFonts w:ascii="Calibri" w:cs="Calibri" w:eastAsia="Calibri" w:hAnsi="Calibri"/>
          <w:b/>
          <w:bCs/>
          <w:i w:val="false"/>
          <w:iCs w:val="false"/>
          <w:caps w:val="false"/>
          <w:color w:val="1A1A1A"/>
          <w:sz w:val="20"/>
          <w:szCs w:val="20"/>
        </w:rPr>
        <w:t xml:space="preserve">Loadout Recommendation </w:t>
      </w:r>
      <w:r>
        <w:rPr>
          <w:rFonts w:ascii="Calibri" w:cs="Calibri" w:eastAsia="Calibri" w:hAnsi="Calibri"/>
          <w:b w:val="false"/>
          <w:bCs w:val="false"/>
          <w:i w:val="false"/>
          <w:iCs w:val="false"/>
          <w:caps w:val="false"/>
          <w:color w:val="1A1A1A"/>
          <w:sz w:val="20"/>
          <w:szCs w:val="20"/>
        </w:rPr>
        <w:t xml:space="preserve">— ML-driven loadouts for ready-stock and Van Sales routes to maximise route-level sales.</w:t>
      </w:r>
    </w:p>
    <w:p>
      <w:pPr>
        <w:pStyle w:val="ListParagraph"/>
        <w:numPr>
          <w:ilvl w:val="0"/>
          <w:numId w:val="2"/>
        </w:numPr>
        <w:spacing w:after="30" w:before="30" w:line="280"/>
      </w:pPr>
      <w:r>
        <w:rPr>
          <w:rFonts w:ascii="Calibri" w:cs="Calibri" w:eastAsia="Calibri" w:hAnsi="Calibri"/>
          <w:b/>
          <w:bCs/>
          <w:i w:val="false"/>
          <w:iCs w:val="false"/>
          <w:caps w:val="false"/>
          <w:color w:val="1A1A1A"/>
          <w:sz w:val="20"/>
          <w:szCs w:val="20"/>
        </w:rPr>
        <w:t xml:space="preserve">Pre-Order &amp; Remote Order </w:t>
      </w:r>
      <w:r>
        <w:rPr>
          <w:rFonts w:ascii="Calibri" w:cs="Calibri" w:eastAsia="Calibri" w:hAnsi="Calibri"/>
          <w:b w:val="false"/>
          <w:bCs w:val="false"/>
          <w:i w:val="false"/>
          <w:iCs w:val="false"/>
          <w:caps w:val="false"/>
          <w:color w:val="1A1A1A"/>
          <w:sz w:val="20"/>
          <w:szCs w:val="20"/>
        </w:rPr>
        <w:t xml:space="preserve">— supports Van Sales optimisation and covers rep absenteeism / vacant positions.</w:t>
      </w:r>
    </w:p>
    <w:p>
      <w:pPr>
        <w:pStyle w:val="ListParagraph"/>
        <w:numPr>
          <w:ilvl w:val="0"/>
          <w:numId w:val="2"/>
        </w:numPr>
        <w:spacing w:after="30" w:before="30" w:line="280"/>
      </w:pPr>
      <w:r>
        <w:rPr>
          <w:rFonts w:ascii="Calibri" w:cs="Calibri" w:eastAsia="Calibri" w:hAnsi="Calibri"/>
          <w:b/>
          <w:bCs/>
          <w:i w:val="false"/>
          <w:iCs w:val="false"/>
          <w:caps w:val="false"/>
          <w:color w:val="1A1A1A"/>
          <w:sz w:val="20"/>
          <w:szCs w:val="20"/>
        </w:rPr>
        <w:t xml:space="preserve">Outlet Attrition Prediction </w:t>
      </w:r>
      <w:r>
        <w:rPr>
          <w:rFonts w:ascii="Calibri" w:cs="Calibri" w:eastAsia="Calibri" w:hAnsi="Calibri"/>
          <w:b w:val="false"/>
          <w:bCs w:val="false"/>
          <w:i w:val="false"/>
          <w:iCs w:val="false"/>
          <w:caps w:val="false"/>
          <w:color w:val="1A1A1A"/>
          <w:sz w:val="20"/>
          <w:szCs w:val="20"/>
        </w:rPr>
        <w:t xml:space="preserve">— flags stores at risk of dropping off, with recovery actions for the rep.</w:t>
      </w:r>
    </w:p>
    <w:p>
      <w:pPr>
        <w:spacing w:after="60" w:before="160" w:line="290"/>
        <w:jc w:val="left"/>
      </w:pPr>
      <w:r>
        <w:rPr>
          <w:rFonts w:ascii="Calibri" w:cs="Calibri" w:eastAsia="Calibri" w:hAnsi="Calibri"/>
          <w:b/>
          <w:bCs/>
          <w:i w:val="false"/>
          <w:iCs w:val="false"/>
          <w:caps w:val="false"/>
          <w:color w:val="0B2545"/>
          <w:sz w:val="20"/>
          <w:szCs w:val="20"/>
        </w:rPr>
        <w:t xml:space="preserve">Intelligence for credit, cost, and customer experience:</w:t>
      </w:r>
    </w:p>
    <w:p>
      <w:pPr>
        <w:pStyle w:val="ListParagraph"/>
        <w:numPr>
          <w:ilvl w:val="0"/>
          <w:numId w:val="2"/>
        </w:numPr>
        <w:spacing w:after="30" w:before="30" w:line="280"/>
      </w:pPr>
      <w:r>
        <w:rPr>
          <w:rFonts w:ascii="Calibri" w:cs="Calibri" w:eastAsia="Calibri" w:hAnsi="Calibri"/>
          <w:b/>
          <w:bCs/>
          <w:i w:val="false"/>
          <w:iCs w:val="false"/>
          <w:caps w:val="false"/>
          <w:color w:val="1A1A1A"/>
          <w:sz w:val="20"/>
          <w:szCs w:val="20"/>
        </w:rPr>
        <w:t xml:space="preserve">Outlet Credit Score Card </w:t>
      </w:r>
      <w:r>
        <w:rPr>
          <w:rFonts w:ascii="Calibri" w:cs="Calibri" w:eastAsia="Calibri" w:hAnsi="Calibri"/>
          <w:b w:val="false"/>
          <w:bCs w:val="false"/>
          <w:i w:val="false"/>
          <w:iCs w:val="false"/>
          <w:caps w:val="false"/>
          <w:color w:val="1A1A1A"/>
          <w:sz w:val="20"/>
          <w:szCs w:val="20"/>
        </w:rPr>
        <w:t xml:space="preserve">— built on RCPL's own transaction and payment-history data, with pattern matching of credit utilisation behaviour.</w:t>
      </w:r>
    </w:p>
    <w:p>
      <w:pPr>
        <w:pStyle w:val="ListParagraph"/>
        <w:numPr>
          <w:ilvl w:val="0"/>
          <w:numId w:val="2"/>
        </w:numPr>
        <w:spacing w:after="30" w:before="30" w:line="280"/>
      </w:pPr>
      <w:r>
        <w:rPr>
          <w:rFonts w:ascii="Calibri" w:cs="Calibri" w:eastAsia="Calibri" w:hAnsi="Calibri"/>
          <w:b/>
          <w:bCs/>
          <w:i w:val="false"/>
          <w:iCs w:val="false"/>
          <w:caps w:val="false"/>
          <w:color w:val="1A1A1A"/>
          <w:sz w:val="20"/>
          <w:szCs w:val="20"/>
        </w:rPr>
        <w:t xml:space="preserve">Market Credit Recovery </w:t>
      </w:r>
      <w:r>
        <w:rPr>
          <w:rFonts w:ascii="Calibri" w:cs="Calibri" w:eastAsia="Calibri" w:hAnsi="Calibri"/>
          <w:b w:val="false"/>
          <w:bCs w:val="false"/>
          <w:i w:val="false"/>
          <w:iCs w:val="false"/>
          <w:caps w:val="false"/>
          <w:color w:val="1A1A1A"/>
          <w:sz w:val="20"/>
          <w:szCs w:val="20"/>
        </w:rPr>
        <w:t xml:space="preserve">— recovery alerts to reps and admins, plus payment-due nudges to retailers.</w:t>
      </w:r>
    </w:p>
    <w:p>
      <w:pPr>
        <w:pStyle w:val="ListParagraph"/>
        <w:numPr>
          <w:ilvl w:val="0"/>
          <w:numId w:val="2"/>
        </w:numPr>
        <w:spacing w:after="30" w:before="30" w:line="280"/>
      </w:pPr>
      <w:r>
        <w:rPr>
          <w:rFonts w:ascii="Calibri" w:cs="Calibri" w:eastAsia="Calibri" w:hAnsi="Calibri"/>
          <w:b/>
          <w:bCs/>
          <w:i w:val="false"/>
          <w:iCs w:val="false"/>
          <w:caps w:val="false"/>
          <w:color w:val="1A1A1A"/>
          <w:sz w:val="20"/>
          <w:szCs w:val="20"/>
        </w:rPr>
        <w:t xml:space="preserve">Channel Financing &amp; Micro-credit </w:t>
      </w:r>
      <w:r>
        <w:rPr>
          <w:rFonts w:ascii="Calibri" w:cs="Calibri" w:eastAsia="Calibri" w:hAnsi="Calibri"/>
          <w:b w:val="false"/>
          <w:bCs w:val="false"/>
          <w:i w:val="false"/>
          <w:iCs w:val="false"/>
          <w:caps w:val="false"/>
          <w:color w:val="1A1A1A"/>
          <w:sz w:val="20"/>
          <w:szCs w:val="20"/>
        </w:rPr>
        <w:t xml:space="preserve">— one-click onboarding via integrated banking and fintech partners, opening a new revenue and retention lever.</w:t>
      </w:r>
    </w:p>
    <w:p>
      <w:pPr>
        <w:pStyle w:val="ListParagraph"/>
        <w:numPr>
          <w:ilvl w:val="0"/>
          <w:numId w:val="2"/>
        </w:numPr>
        <w:spacing w:after="30" w:before="30" w:line="280"/>
      </w:pPr>
      <w:r>
        <w:rPr>
          <w:rFonts w:ascii="Calibri" w:cs="Calibri" w:eastAsia="Calibri" w:hAnsi="Calibri"/>
          <w:b/>
          <w:bCs/>
          <w:i w:val="false"/>
          <w:iCs w:val="false"/>
          <w:caps w:val="false"/>
          <w:color w:val="1A1A1A"/>
          <w:sz w:val="20"/>
          <w:szCs w:val="20"/>
        </w:rPr>
        <w:t xml:space="preserve">DMS Operating Cost Optimisation </w:t>
      </w:r>
      <w:r>
        <w:rPr>
          <w:rFonts w:ascii="Calibri" w:cs="Calibri" w:eastAsia="Calibri" w:hAnsi="Calibri"/>
          <w:b w:val="false"/>
          <w:bCs w:val="false"/>
          <w:i w:val="false"/>
          <w:iCs w:val="false"/>
          <w:caps w:val="false"/>
          <w:color w:val="1A1A1A"/>
          <w:sz w:val="20"/>
          <w:szCs w:val="20"/>
        </w:rPr>
        <w:t xml:space="preserve">— modern UI/UX so smaller distributors can self-operate; large distributors run on existing resource without dedicated DMS operators.</w:t>
      </w:r>
    </w:p>
    <w:p>
      <w:pPr>
        <w:pStyle w:val="ListParagraph"/>
        <w:numPr>
          <w:ilvl w:val="0"/>
          <w:numId w:val="2"/>
        </w:numPr>
        <w:spacing w:after="30" w:before="30" w:line="280"/>
      </w:pPr>
      <w:r>
        <w:rPr>
          <w:rFonts w:ascii="Calibri" w:cs="Calibri" w:eastAsia="Calibri" w:hAnsi="Calibri"/>
          <w:b/>
          <w:bCs/>
          <w:i w:val="false"/>
          <w:iCs w:val="false"/>
          <w:caps w:val="false"/>
          <w:color w:val="1A1A1A"/>
          <w:sz w:val="20"/>
          <w:szCs w:val="20"/>
        </w:rPr>
        <w:t xml:space="preserve">Delivery Route Optimisation </w:t>
      </w:r>
      <w:r>
        <w:rPr>
          <w:rFonts w:ascii="Calibri" w:cs="Calibri" w:eastAsia="Calibri" w:hAnsi="Calibri"/>
          <w:b w:val="false"/>
          <w:bCs w:val="false"/>
          <w:i w:val="false"/>
          <w:iCs w:val="false"/>
          <w:caps w:val="false"/>
          <w:color w:val="1A1A1A"/>
          <w:sz w:val="20"/>
          <w:szCs w:val="20"/>
        </w:rPr>
        <w:t xml:space="preserve">— maximises vehicle utilisation, lowers per-drop delivery cost.</w:t>
      </w:r>
    </w:p>
    <w:p>
      <w:pPr>
        <w:pStyle w:val="ListParagraph"/>
        <w:numPr>
          <w:ilvl w:val="0"/>
          <w:numId w:val="2"/>
        </w:numPr>
        <w:spacing w:after="30" w:before="30" w:line="280"/>
      </w:pPr>
      <w:r>
        <w:rPr>
          <w:rFonts w:ascii="Calibri" w:cs="Calibri" w:eastAsia="Calibri" w:hAnsi="Calibri"/>
          <w:b/>
          <w:bCs/>
          <w:i w:val="false"/>
          <w:iCs w:val="false"/>
          <w:caps w:val="false"/>
          <w:color w:val="1A1A1A"/>
          <w:sz w:val="20"/>
          <w:szCs w:val="20"/>
        </w:rPr>
        <w:t xml:space="preserve">Stock-loss &amp; Expiry Alerts </w:t>
      </w:r>
      <w:r>
        <w:rPr>
          <w:rFonts w:ascii="Calibri" w:cs="Calibri" w:eastAsia="Calibri" w:hAnsi="Calibri"/>
          <w:b w:val="false"/>
          <w:bCs w:val="false"/>
          <w:i w:val="false"/>
          <w:iCs w:val="false"/>
          <w:caps w:val="false"/>
          <w:color w:val="1A1A1A"/>
          <w:sz w:val="20"/>
          <w:szCs w:val="20"/>
        </w:rPr>
        <w:t xml:space="preserve">— suggested actions for slow-moving stock before expiry hits margin.</w:t>
      </w:r>
    </w:p>
    <w:p>
      <w:pPr>
        <w:pStyle w:val="ListParagraph"/>
        <w:numPr>
          <w:ilvl w:val="0"/>
          <w:numId w:val="2"/>
        </w:numPr>
        <w:spacing w:after="30" w:before="30" w:line="280"/>
      </w:pPr>
      <w:r>
        <w:rPr>
          <w:rFonts w:ascii="Calibri" w:cs="Calibri" w:eastAsia="Calibri" w:hAnsi="Calibri"/>
          <w:b/>
          <w:bCs/>
          <w:i w:val="false"/>
          <w:iCs w:val="false"/>
          <w:caps w:val="false"/>
          <w:color w:val="1A1A1A"/>
          <w:sz w:val="20"/>
          <w:szCs w:val="20"/>
        </w:rPr>
        <w:t xml:space="preserve">Fill-Rate &amp; Customer Satisfaction Scorecards </w:t>
      </w:r>
      <w:r>
        <w:rPr>
          <w:rFonts w:ascii="Calibri" w:cs="Calibri" w:eastAsia="Calibri" w:hAnsi="Calibri"/>
          <w:b w:val="false"/>
          <w:bCs w:val="false"/>
          <w:i w:val="false"/>
          <w:iCs w:val="false"/>
          <w:caps w:val="false"/>
          <w:color w:val="1A1A1A"/>
          <w:sz w:val="20"/>
          <w:szCs w:val="20"/>
        </w:rPr>
        <w:t xml:space="preserve">— service KPIs surfaced to RCPL and to the distributor, weekly and at distributor level.</w:t>
      </w:r>
    </w:p>
    <w:p>
      <w:pPr>
        <w:spacing w:after="80" w:before="200"/>
      </w:pPr>
      <w:r>
        <w:rPr>
          <w:rFonts w:ascii="Calibri" w:cs="Calibri" w:eastAsia="Calibri" w:hAnsi="Calibri"/>
          <w:b/>
          <w:bCs/>
          <w:i w:val="false"/>
          <w:iCs w:val="false"/>
          <w:caps w:val="false"/>
          <w:color w:val="13616E"/>
          <w:sz w:val="22"/>
          <w:szCs w:val="22"/>
        </w:rPr>
        <w:t xml:space="preserve">Layer 4 · Best-in-Class eB2B App for Retailers</w:t>
      </w:r>
    </w:p>
    <w:p>
      <w:pPr>
        <w:spacing w:after="60" w:before="60" w:line="290"/>
        <w:jc w:val="left"/>
      </w:pPr>
      <w:r>
        <w:rPr>
          <w:rFonts w:ascii="Calibri" w:cs="Calibri" w:eastAsia="Calibri" w:hAnsi="Calibri"/>
          <w:b w:val="false"/>
          <w:bCs w:val="false"/>
          <w:i w:val="false"/>
          <w:iCs w:val="false"/>
          <w:caps w:val="false"/>
          <w:color w:val="1A1A1A"/>
          <w:sz w:val="20"/>
          <w:szCs w:val="20"/>
        </w:rPr>
        <w:t xml:space="preserve">Retailers transact directly through a multi-channel eB2B layer (WhatsApp + PWA + native app), with intelligence pushed to the surface — search, voice, ready baskets, recommendations, and personalised offers.</w:t>
      </w:r>
    </w:p>
    <w:p>
      <w:pPr>
        <w:pStyle w:val="ListParagraph"/>
        <w:numPr>
          <w:ilvl w:val="0"/>
          <w:numId w:val="2"/>
        </w:numPr>
        <w:spacing w:after="30" w:before="30" w:line="280"/>
      </w:pPr>
      <w:r>
        <w:rPr>
          <w:rFonts w:ascii="Calibri" w:cs="Calibri" w:eastAsia="Calibri" w:hAnsi="Calibri"/>
          <w:b/>
          <w:bCs/>
          <w:i w:val="false"/>
          <w:iCs w:val="false"/>
          <w:caps w:val="false"/>
          <w:color w:val="1A1A1A"/>
          <w:sz w:val="20"/>
          <w:szCs w:val="20"/>
        </w:rPr>
        <w:t xml:space="preserve">Intelligent Interface · </w:t>
      </w:r>
      <w:r>
        <w:rPr>
          <w:rFonts w:ascii="Calibri" w:cs="Calibri" w:eastAsia="Calibri" w:hAnsi="Calibri"/>
          <w:b w:val="false"/>
          <w:bCs w:val="false"/>
          <w:i w:val="false"/>
          <w:iCs w:val="false"/>
          <w:caps w:val="false"/>
          <w:color w:val="1A1A1A"/>
          <w:sz w:val="20"/>
          <w:szCs w:val="20"/>
        </w:rPr>
        <w:t xml:space="preserve">Search, text, and voice ordering across WhatsApp, PWA, and mobile — driving 30%+ higher adoption and engagement among retailers.</w:t>
      </w:r>
    </w:p>
    <w:p>
      <w:pPr>
        <w:pStyle w:val="ListParagraph"/>
        <w:numPr>
          <w:ilvl w:val="0"/>
          <w:numId w:val="2"/>
        </w:numPr>
        <w:spacing w:after="30" w:before="30" w:line="280"/>
      </w:pPr>
      <w:r>
        <w:rPr>
          <w:rFonts w:ascii="Calibri" w:cs="Calibri" w:eastAsia="Calibri" w:hAnsi="Calibri"/>
          <w:b/>
          <w:bCs/>
          <w:i w:val="false"/>
          <w:iCs w:val="false"/>
          <w:caps w:val="false"/>
          <w:color w:val="1A1A1A"/>
          <w:sz w:val="20"/>
          <w:szCs w:val="20"/>
        </w:rPr>
        <w:t xml:space="preserve">Intelligent Product Baskets · </w:t>
      </w:r>
      <w:r>
        <w:rPr>
          <w:rFonts w:ascii="Calibri" w:cs="Calibri" w:eastAsia="Calibri" w:hAnsi="Calibri"/>
          <w:b w:val="false"/>
          <w:bCs w:val="false"/>
          <w:i w:val="false"/>
          <w:iCs w:val="false"/>
          <w:caps w:val="false"/>
          <w:color w:val="1A1A1A"/>
          <w:sz w:val="20"/>
          <w:szCs w:val="20"/>
        </w:rPr>
        <w:t xml:space="preserve">ML-based, hyper-personalised ready baskets per retailer — lift focus / premium product distribution by 5–18%.</w:t>
      </w:r>
    </w:p>
    <w:p>
      <w:pPr>
        <w:pStyle w:val="ListParagraph"/>
        <w:numPr>
          <w:ilvl w:val="0"/>
          <w:numId w:val="2"/>
        </w:numPr>
        <w:spacing w:after="30" w:before="30" w:line="280"/>
      </w:pPr>
      <w:r>
        <w:rPr>
          <w:rFonts w:ascii="Calibri" w:cs="Calibri" w:eastAsia="Calibri" w:hAnsi="Calibri"/>
          <w:b/>
          <w:bCs/>
          <w:i w:val="false"/>
          <w:iCs w:val="false"/>
          <w:caps w:val="false"/>
          <w:color w:val="1A1A1A"/>
          <w:sz w:val="20"/>
          <w:szCs w:val="20"/>
        </w:rPr>
        <w:t xml:space="preserve">Personalised Offers &amp; Schemes · </w:t>
      </w:r>
      <w:r>
        <w:rPr>
          <w:rFonts w:ascii="Calibri" w:cs="Calibri" w:eastAsia="Calibri" w:hAnsi="Calibri"/>
          <w:b w:val="false"/>
          <w:bCs w:val="false"/>
          <w:i w:val="false"/>
          <w:iCs w:val="false"/>
          <w:caps w:val="false"/>
          <w:color w:val="1A1A1A"/>
          <w:sz w:val="20"/>
          <w:szCs w:val="20"/>
        </w:rPr>
        <w:t xml:space="preserve">RCPL pricing &amp; promo engine surfaced contextually to each retailer, integrated with secondary scheme pay-out.</w:t>
      </w:r>
    </w:p>
    <w:p>
      <w:pPr>
        <w:pStyle w:val="ListParagraph"/>
        <w:numPr>
          <w:ilvl w:val="0"/>
          <w:numId w:val="2"/>
        </w:numPr>
        <w:spacing w:after="30" w:before="30" w:line="280"/>
      </w:pPr>
      <w:r>
        <w:rPr>
          <w:rFonts w:ascii="Calibri" w:cs="Calibri" w:eastAsia="Calibri" w:hAnsi="Calibri"/>
          <w:b/>
          <w:bCs/>
          <w:i w:val="false"/>
          <w:iCs w:val="false"/>
          <w:caps w:val="false"/>
          <w:color w:val="1A1A1A"/>
          <w:sz w:val="20"/>
          <w:szCs w:val="20"/>
        </w:rPr>
        <w:t xml:space="preserve">Loyalty &amp; Wallet · </w:t>
      </w:r>
      <w:r>
        <w:rPr>
          <w:rFonts w:ascii="Calibri" w:cs="Calibri" w:eastAsia="Calibri" w:hAnsi="Calibri"/>
          <w:b w:val="false"/>
          <w:bCs w:val="false"/>
          <w:i w:val="false"/>
          <w:iCs w:val="false"/>
          <w:caps w:val="false"/>
          <w:color w:val="1A1A1A"/>
          <w:sz w:val="20"/>
          <w:szCs w:val="20"/>
        </w:rPr>
        <w:t xml:space="preserve">Native loyalty plug-in, retailer wallet, and instant settlement — closing the loop with the AI Sales Agent's reward points.</w:t>
      </w:r>
    </w:p>
    <w:p>
      <w:pPr>
        <w:pBdr>
          <w:bottom w:val="single" w:color="13616E" w:sz="8" w:space="4"/>
        </w:pBdr>
        <w:spacing w:after="120" w:before="280"/>
      </w:pPr>
      <w:r>
        <w:rPr>
          <w:rFonts w:ascii="Calibri" w:cs="Calibri" w:eastAsia="Calibri" w:hAnsi="Calibri"/>
          <w:b/>
          <w:bCs/>
          <w:i w:val="false"/>
          <w:iCs w:val="false"/>
          <w:caps/>
          <w:color w:val="0B2545"/>
          <w:sz w:val="24"/>
          <w:szCs w:val="24"/>
        </w:rPr>
        <w:t xml:space="preserve">In Parallel · Stabilisation of the Existing Stack</w:t>
      </w:r>
    </w:p>
    <w:p>
      <w:pPr>
        <w:spacing w:after="60" w:before="120" w:line="290"/>
        <w:jc w:val="left"/>
      </w:pPr>
      <w:r>
        <w:rPr>
          <w:rFonts w:ascii="Calibri" w:cs="Calibri" w:eastAsia="Calibri" w:hAnsi="Calibri"/>
          <w:b w:val="false"/>
          <w:bCs w:val="false"/>
          <w:i w:val="false"/>
          <w:iCs w:val="false"/>
          <w:caps w:val="false"/>
          <w:color w:val="1A1A1A"/>
          <w:sz w:val="20"/>
          <w:szCs w:val="20"/>
        </w:rPr>
        <w:t xml:space="preserve">The AI-native build does not pause delivery on the existing platform. Five PODs continue to harden the current stack while the new layers are designed and stood up.</w:t>
      </w:r>
    </w:p>
    <w:p>
      <w:pPr>
        <w:pStyle w:val="ListParagraph"/>
        <w:numPr>
          <w:ilvl w:val="0"/>
          <w:numId w:val="2"/>
        </w:numPr>
        <w:spacing w:after="30" w:before="30" w:line="280"/>
      </w:pPr>
      <w:r>
        <w:rPr>
          <w:rFonts w:ascii="Calibri" w:cs="Calibri" w:eastAsia="Calibri" w:hAnsi="Calibri"/>
          <w:b/>
          <w:bCs/>
          <w:i w:val="false"/>
          <w:iCs w:val="false"/>
          <w:caps w:val="false"/>
          <w:color w:val="1A1A1A"/>
          <w:sz w:val="20"/>
          <w:szCs w:val="20"/>
        </w:rPr>
        <w:t xml:space="preserve">Beverage DMS coverage · </w:t>
      </w:r>
      <w:r>
        <w:rPr>
          <w:rFonts w:ascii="Calibri" w:cs="Calibri" w:eastAsia="Calibri" w:hAnsi="Calibri"/>
          <w:b w:val="false"/>
          <w:bCs w:val="false"/>
          <w:i w:val="false"/>
          <w:iCs w:val="false"/>
          <w:caps w:val="false"/>
          <w:color w:val="1A1A1A"/>
          <w:sz w:val="20"/>
          <w:szCs w:val="20"/>
        </w:rPr>
        <w:t xml:space="preserve">Pre-Sales (80% DBs) and Van Sales (remaining 20%) live; Multi-Role User Access for 20% of Beverage DBs — ~₹5,000 Cr/month order volume on platform.</w:t>
      </w:r>
    </w:p>
    <w:p>
      <w:pPr>
        <w:pStyle w:val="ListParagraph"/>
        <w:numPr>
          <w:ilvl w:val="0"/>
          <w:numId w:val="2"/>
        </w:numPr>
        <w:spacing w:after="30" w:before="30" w:line="280"/>
      </w:pPr>
      <w:r>
        <w:rPr>
          <w:rFonts w:ascii="Calibri" w:cs="Calibri" w:eastAsia="Calibri" w:hAnsi="Calibri"/>
          <w:b/>
          <w:bCs/>
          <w:i w:val="false"/>
          <w:iCs w:val="false"/>
          <w:caps w:val="false"/>
          <w:color w:val="1A1A1A"/>
          <w:sz w:val="20"/>
          <w:szCs w:val="20"/>
        </w:rPr>
        <w:t xml:space="preserve">Non-Beverage SFA · </w:t>
      </w:r>
      <w:r>
        <w:rPr>
          <w:rFonts w:ascii="Calibri" w:cs="Calibri" w:eastAsia="Calibri" w:hAnsi="Calibri"/>
          <w:b w:val="false"/>
          <w:bCs w:val="false"/>
          <w:i w:val="false"/>
          <w:iCs w:val="false"/>
          <w:caps w:val="false"/>
          <w:color w:val="1A1A1A"/>
          <w:sz w:val="20"/>
          <w:szCs w:val="20"/>
        </w:rPr>
        <w:t xml:space="preserve">Multi-Segment Distributor Mapping, Beat Management, CSO Managerial App across Staples, HPC, Foods — resolves 60–70% of current L1 support tickets.</w:t>
      </w:r>
    </w:p>
    <w:p>
      <w:pPr>
        <w:pStyle w:val="ListParagraph"/>
        <w:numPr>
          <w:ilvl w:val="0"/>
          <w:numId w:val="2"/>
        </w:numPr>
        <w:spacing w:after="30" w:before="30" w:line="280"/>
      </w:pPr>
      <w:r>
        <w:rPr>
          <w:rFonts w:ascii="Calibri" w:cs="Calibri" w:eastAsia="Calibri" w:hAnsi="Calibri"/>
          <w:b/>
          <w:bCs/>
          <w:i w:val="false"/>
          <w:iCs w:val="false"/>
          <w:caps w:val="false"/>
          <w:color w:val="1A1A1A"/>
          <w:sz w:val="20"/>
          <w:szCs w:val="20"/>
        </w:rPr>
        <w:t xml:space="preserve">Primary DMS scale-up · </w:t>
      </w:r>
      <w:r>
        <w:rPr>
          <w:rFonts w:ascii="Calibri" w:cs="Calibri" w:eastAsia="Calibri" w:hAnsi="Calibri"/>
          <w:b w:val="false"/>
          <w:bCs w:val="false"/>
          <w:i w:val="false"/>
          <w:iCs w:val="false"/>
          <w:caps w:val="false"/>
          <w:color w:val="1A1A1A"/>
          <w:sz w:val="20"/>
          <w:szCs w:val="20"/>
        </w:rPr>
        <w:t xml:space="preserve">Auto DO enhancements, HPC primary ordering, Anchor Order fulfilment, Bulk Order modification, Credit Deficit handling — supports ₹1,500 Cr+/month primary, ~₹1 Cr FTE optimisation.</w:t>
      </w:r>
    </w:p>
    <w:p>
      <w:pPr>
        <w:pStyle w:val="ListParagraph"/>
        <w:numPr>
          <w:ilvl w:val="0"/>
          <w:numId w:val="2"/>
        </w:numPr>
        <w:spacing w:after="30" w:before="30" w:line="280"/>
      </w:pPr>
      <w:r>
        <w:rPr>
          <w:rFonts w:ascii="Calibri" w:cs="Calibri" w:eastAsia="Calibri" w:hAnsi="Calibri"/>
          <w:b/>
          <w:bCs/>
          <w:i w:val="false"/>
          <w:iCs w:val="false"/>
          <w:caps w:val="false"/>
          <w:color w:val="1A1A1A"/>
          <w:sz w:val="20"/>
          <w:szCs w:val="20"/>
        </w:rPr>
        <w:t xml:space="preserve">Asset &amp; Pricing · </w:t>
      </w:r>
      <w:r>
        <w:rPr>
          <w:rFonts w:ascii="Calibri" w:cs="Calibri" w:eastAsia="Calibri" w:hAnsi="Calibri"/>
          <w:b w:val="false"/>
          <w:bCs w:val="false"/>
          <w:i w:val="false"/>
          <w:iCs w:val="false"/>
          <w:caps w:val="false"/>
          <w:color w:val="1A1A1A"/>
          <w:sz w:val="20"/>
          <w:szCs w:val="20"/>
        </w:rPr>
        <w:t xml:space="preserve">CTS at scale (1.86 L assets), Pricing &amp; Promotions for primary + secondary — ~₹50 Cr asset-loss avoidance, ₹1,200 Cr/month pricing coverage.</w:t>
      </w:r>
    </w:p>
    <w:p>
      <w:pPr>
        <w:pStyle w:val="ListParagraph"/>
        <w:numPr>
          <w:ilvl w:val="0"/>
          <w:numId w:val="2"/>
        </w:numPr>
        <w:spacing w:after="30" w:before="30" w:line="280"/>
      </w:pPr>
      <w:r>
        <w:rPr>
          <w:rFonts w:ascii="Calibri" w:cs="Calibri" w:eastAsia="Calibri" w:hAnsi="Calibri"/>
          <w:b/>
          <w:bCs/>
          <w:i w:val="false"/>
          <w:iCs w:val="false"/>
          <w:caps w:val="false"/>
          <w:color w:val="1A1A1A"/>
          <w:sz w:val="20"/>
          <w:szCs w:val="20"/>
        </w:rPr>
        <w:t xml:space="preserve">Independent infrastructure · </w:t>
      </w:r>
      <w:r>
        <w:rPr>
          <w:rFonts w:ascii="Calibri" w:cs="Calibri" w:eastAsia="Calibri" w:hAnsi="Calibri"/>
          <w:b w:val="false"/>
          <w:bCs w:val="false"/>
          <w:i w:val="false"/>
          <w:iCs w:val="false"/>
          <w:caps w:val="false"/>
          <w:color w:val="1A1A1A"/>
          <w:sz w:val="20"/>
          <w:szCs w:val="20"/>
        </w:rPr>
        <w:t xml:space="preserve">Cutover from the shared JMP cluster to the dedicated fynd-jio-rcpl cluster; close the port-opening blocker; RCPL-owned, audit-ready environment.</w:t>
      </w:r>
    </w:p>
    <w:p>
      <w:pPr>
        <w:pBdr>
          <w:bottom w:val="single" w:color="13616E" w:sz="8" w:space="4"/>
        </w:pBdr>
        <w:spacing w:after="120" w:before="280"/>
      </w:pPr>
      <w:r>
        <w:rPr>
          <w:rFonts w:ascii="Calibri" w:cs="Calibri" w:eastAsia="Calibri" w:hAnsi="Calibri"/>
          <w:b/>
          <w:bCs/>
          <w:i w:val="false"/>
          <w:iCs w:val="false"/>
          <w:caps/>
          <w:color w:val="0B2545"/>
          <w:sz w:val="24"/>
          <w:szCs w:val="24"/>
        </w:rPr>
        <w:t xml:space="preserve">Beyond DMS · The Full FMCG Operating System</w:t>
      </w:r>
    </w:p>
    <w:p>
      <w:pPr>
        <w:spacing w:after="60" w:before="120" w:line="290"/>
        <w:jc w:val="left"/>
      </w:pPr>
      <w:r>
        <w:rPr>
          <w:rFonts w:ascii="Calibri" w:cs="Calibri" w:eastAsia="Calibri" w:hAnsi="Calibri"/>
          <w:b w:val="false"/>
          <w:bCs w:val="false"/>
          <w:i w:val="false"/>
          <w:iCs w:val="false"/>
          <w:caps w:val="false"/>
          <w:color w:val="1A1A1A"/>
          <w:sz w:val="20"/>
          <w:szCs w:val="20"/>
        </w:rPr>
        <w:t xml:space="preserve">Once the AI-native distribution platform is in steady state, the RCPL OS extends across the rest of the FMCG value chain. The same data backbone, the same AI layer, the same plug-in fabric — applied to Marketing, Manufacturing, and Supply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AE0" w:sz="1"/>
              <w:left w:val="single" w:color="D5DAE0" w:sz="1"/>
              <w:bottom w:val="single" w:color="D5DAE0" w:sz="1"/>
              <w:right w:val="single" w:color="D5DAE0" w:sz="1"/>
            </w:tcBorders>
            <w:shd w:fill="F4F6F8" w:val="clear"/>
            <w:tcMar>
              <w:top w:type="dxa" w:w="100"/>
              <w:left w:type="dxa" w:w="140"/>
              <w:bottom w:type="dxa" w:w="100"/>
              <w:right w:type="dxa" w:w="140"/>
            </w:tcMar>
          </w:tcPr>
          <w:p>
            <w:pPr>
              <w:spacing w:after="40" w:before="40"/>
            </w:pPr>
            <w:r>
              <w:rPr>
                <w:rFonts w:ascii="Calibri" w:cs="Calibri" w:eastAsia="Calibri" w:hAnsi="Calibri"/>
                <w:b/>
                <w:bCs/>
                <w:i w:val="false"/>
                <w:iCs w:val="false"/>
                <w:caps/>
                <w:color w:val="0B2545"/>
                <w:sz w:val="18"/>
                <w:szCs w:val="18"/>
              </w:rPr>
              <w:t xml:space="preserve">Distribution</w:t>
            </w:r>
          </w:p>
          <w:p>
            <w:pPr>
              <w:spacing w:after="60" w:before="0" w:line="270"/>
            </w:pPr>
            <w:r>
              <w:rPr>
                <w:rFonts w:ascii="Calibri" w:cs="Calibri" w:eastAsia="Calibri" w:hAnsi="Calibri"/>
                <w:b w:val="false"/>
                <w:bCs w:val="false"/>
                <w:i w:val="false"/>
                <w:iCs w:val="false"/>
                <w:caps w:val="false"/>
                <w:color w:val="1A1A1A"/>
                <w:sz w:val="17"/>
                <w:szCs w:val="17"/>
              </w:rPr>
              <w:t xml:space="preserve">DMS, SFA, CTS, Pricing — fully owned, AI-native, multi-segment, multi-geo ready.</w:t>
            </w:r>
          </w:p>
        </w:tc>
        <w:tc>
          <w:tcPr>
            <w:tcW w:type="dxa" w:w="2340"/>
            <w:tcBorders>
              <w:top w:val="single" w:color="D5DAE0" w:sz="1"/>
              <w:left w:val="single" w:color="D5DAE0" w:sz="1"/>
              <w:bottom w:val="single" w:color="D5DAE0" w:sz="1"/>
              <w:right w:val="single" w:color="D5DAE0" w:sz="1"/>
            </w:tcBorders>
            <w:shd w:fill="FFFFFF" w:val="clear"/>
            <w:tcMar>
              <w:top w:type="dxa" w:w="100"/>
              <w:left w:type="dxa" w:w="140"/>
              <w:bottom w:type="dxa" w:w="100"/>
              <w:right w:type="dxa" w:w="140"/>
            </w:tcMar>
          </w:tcPr>
          <w:p>
            <w:pPr>
              <w:spacing w:after="40" w:before="40"/>
            </w:pPr>
            <w:r>
              <w:rPr>
                <w:rFonts w:ascii="Calibri" w:cs="Calibri" w:eastAsia="Calibri" w:hAnsi="Calibri"/>
                <w:b/>
                <w:bCs/>
                <w:i w:val="false"/>
                <w:iCs w:val="false"/>
                <w:caps/>
                <w:color w:val="0B2545"/>
                <w:sz w:val="18"/>
                <w:szCs w:val="18"/>
              </w:rPr>
              <w:t xml:space="preserve">Marketing</w:t>
            </w:r>
          </w:p>
          <w:p>
            <w:pPr>
              <w:spacing w:after="60" w:before="0" w:line="270"/>
            </w:pPr>
            <w:r>
              <w:rPr>
                <w:rFonts w:ascii="Calibri" w:cs="Calibri" w:eastAsia="Calibri" w:hAnsi="Calibri"/>
                <w:b w:val="false"/>
                <w:bCs w:val="false"/>
                <w:i w:val="false"/>
                <w:iCs w:val="false"/>
                <w:caps w:val="false"/>
                <w:color w:val="1A1A1A"/>
                <w:sz w:val="17"/>
                <w:szCs w:val="17"/>
              </w:rPr>
              <w:t xml:space="preserve">Brand, campaign, retailer loyalty, consumer activation — connected to live distribution data.</w:t>
            </w:r>
          </w:p>
        </w:tc>
        <w:tc>
          <w:tcPr>
            <w:tcW w:type="dxa" w:w="2340"/>
            <w:tcBorders>
              <w:top w:val="single" w:color="D5DAE0" w:sz="1"/>
              <w:left w:val="single" w:color="D5DAE0" w:sz="1"/>
              <w:bottom w:val="single" w:color="D5DAE0" w:sz="1"/>
              <w:right w:val="single" w:color="D5DAE0" w:sz="1"/>
            </w:tcBorders>
            <w:shd w:fill="F4F6F8" w:val="clear"/>
            <w:tcMar>
              <w:top w:type="dxa" w:w="100"/>
              <w:left w:type="dxa" w:w="140"/>
              <w:bottom w:type="dxa" w:w="100"/>
              <w:right w:type="dxa" w:w="140"/>
            </w:tcMar>
          </w:tcPr>
          <w:p>
            <w:pPr>
              <w:spacing w:after="40" w:before="40"/>
            </w:pPr>
            <w:r>
              <w:rPr>
                <w:rFonts w:ascii="Calibri" w:cs="Calibri" w:eastAsia="Calibri" w:hAnsi="Calibri"/>
                <w:b/>
                <w:bCs/>
                <w:i w:val="false"/>
                <w:iCs w:val="false"/>
                <w:caps/>
                <w:color w:val="0B2545"/>
                <w:sz w:val="18"/>
                <w:szCs w:val="18"/>
              </w:rPr>
              <w:t xml:space="preserve">Manufacturing</w:t>
            </w:r>
          </w:p>
          <w:p>
            <w:pPr>
              <w:spacing w:after="60" w:before="0" w:line="270"/>
            </w:pPr>
            <w:r>
              <w:rPr>
                <w:rFonts w:ascii="Calibri" w:cs="Calibri" w:eastAsia="Calibri" w:hAnsi="Calibri"/>
                <w:b w:val="false"/>
                <w:bCs w:val="false"/>
                <w:i w:val="false"/>
                <w:iCs w:val="false"/>
                <w:caps w:val="false"/>
                <w:color w:val="1A1A1A"/>
                <w:sz w:val="17"/>
                <w:szCs w:val="17"/>
              </w:rPr>
              <w:t xml:space="preserve">Plant-to-warehouse visibility, batch &amp; quality, demand-linked production planning.</w:t>
            </w:r>
          </w:p>
        </w:tc>
        <w:tc>
          <w:tcPr>
            <w:tcW w:type="dxa" w:w="2340"/>
            <w:tcBorders>
              <w:top w:val="single" w:color="D5DAE0" w:sz="1"/>
              <w:left w:val="single" w:color="D5DAE0" w:sz="1"/>
              <w:bottom w:val="single" w:color="D5DAE0" w:sz="1"/>
              <w:right w:val="single" w:color="D5DAE0" w:sz="1"/>
            </w:tcBorders>
            <w:shd w:fill="FFFFFF" w:val="clear"/>
            <w:tcMar>
              <w:top w:type="dxa" w:w="100"/>
              <w:left w:type="dxa" w:w="140"/>
              <w:bottom w:type="dxa" w:w="100"/>
              <w:right w:type="dxa" w:w="140"/>
            </w:tcMar>
          </w:tcPr>
          <w:p>
            <w:pPr>
              <w:spacing w:after="40" w:before="40"/>
            </w:pPr>
            <w:r>
              <w:rPr>
                <w:rFonts w:ascii="Calibri" w:cs="Calibri" w:eastAsia="Calibri" w:hAnsi="Calibri"/>
                <w:b/>
                <w:bCs/>
                <w:i w:val="false"/>
                <w:iCs w:val="false"/>
                <w:caps/>
                <w:color w:val="0B2545"/>
                <w:sz w:val="18"/>
                <w:szCs w:val="18"/>
              </w:rPr>
              <w:t xml:space="preserve">Supply Chain</w:t>
            </w:r>
          </w:p>
          <w:p>
            <w:pPr>
              <w:spacing w:after="60" w:before="0" w:line="270"/>
            </w:pPr>
            <w:r>
              <w:rPr>
                <w:rFonts w:ascii="Calibri" w:cs="Calibri" w:eastAsia="Calibri" w:hAnsi="Calibri"/>
                <w:b w:val="false"/>
                <w:bCs w:val="false"/>
                <w:i w:val="false"/>
                <w:iCs w:val="false"/>
                <w:caps w:val="false"/>
                <w:color w:val="1A1A1A"/>
                <w:sz w:val="17"/>
                <w:szCs w:val="17"/>
              </w:rPr>
              <w:t xml:space="preserve">S&amp;OP, secondary logistics, inventory, demand sensing — closed-loop with sales.</w:t>
            </w:r>
          </w:p>
        </w:tc>
      </w:tr>
    </w:tbl>
    <w:p>
      <w:pPr>
        <w:pBdr>
          <w:bottom w:val="single" w:color="13616E" w:sz="8" w:space="4"/>
        </w:pBdr>
        <w:spacing w:after="120" w:before="280"/>
      </w:pPr>
      <w:r>
        <w:rPr>
          <w:rFonts w:ascii="Calibri" w:cs="Calibri" w:eastAsia="Calibri" w:hAnsi="Calibri"/>
          <w:b/>
          <w:bCs/>
          <w:i w:val="false"/>
          <w:iCs w:val="false"/>
          <w:caps/>
          <w:color w:val="0B2545"/>
          <w:sz w:val="24"/>
          <w:szCs w:val="24"/>
        </w:rPr>
        <w:t xml:space="preserve">What We Are Asking For</w:t>
      </w:r>
    </w:p>
    <w:p>
      <w:pPr>
        <w:spacing w:after="60" w:before="120" w:line="290"/>
        <w:jc w:val="left"/>
      </w:pPr>
      <w:r>
        <w:rPr>
          <w:rFonts w:ascii="Calibri" w:cs="Calibri" w:eastAsia="Calibri" w:hAnsi="Calibri"/>
          <w:b w:val="false"/>
          <w:bCs w:val="false"/>
          <w:i w:val="false"/>
          <w:iCs w:val="false"/>
          <w:caps w:val="false"/>
          <w:color w:val="1A1A1A"/>
          <w:sz w:val="20"/>
          <w:szCs w:val="20"/>
        </w:rPr>
        <w:t xml:space="preserve">To execute against this six-month plan, we are seeking the APEX board's directional support on three items:</w:t>
      </w:r>
    </w:p>
    <w:p>
      <w:pPr>
        <w:pStyle w:val="ListParagraph"/>
        <w:numPr>
          <w:ilvl w:val="0"/>
          <w:numId w:val="3"/>
        </w:numPr>
        <w:spacing w:after="30" w:before="30" w:line="280"/>
      </w:pPr>
      <w:r>
        <w:rPr>
          <w:rFonts w:ascii="Calibri" w:cs="Calibri" w:eastAsia="Calibri" w:hAnsi="Calibri"/>
          <w:b/>
          <w:bCs/>
          <w:i w:val="false"/>
          <w:iCs w:val="false"/>
          <w:caps w:val="false"/>
          <w:color w:val="1A1A1A"/>
          <w:sz w:val="20"/>
          <w:szCs w:val="20"/>
        </w:rPr>
        <w:t xml:space="preserve">Endorse the AI-native DMS platform as the strategic build path. </w:t>
      </w:r>
      <w:r>
        <w:rPr>
          <w:rFonts w:ascii="Calibri" w:cs="Calibri" w:eastAsia="Calibri" w:hAnsi="Calibri"/>
          <w:b w:val="false"/>
          <w:bCs w:val="false"/>
          <w:i w:val="false"/>
          <w:iCs w:val="false"/>
          <w:caps w:val="false"/>
          <w:color w:val="1A1A1A"/>
          <w:sz w:val="20"/>
          <w:szCs w:val="20"/>
        </w:rPr>
        <w:t xml:space="preserve">Confirms RCPL's intent to own the platform end-to-end, rather than configure a commercial product. Unblocks the architecture, data, and integration decisions that follow.</w:t>
      </w:r>
    </w:p>
    <w:p>
      <w:pPr>
        <w:pStyle w:val="ListParagraph"/>
        <w:numPr>
          <w:ilvl w:val="0"/>
          <w:numId w:val="3"/>
        </w:numPr>
        <w:spacing w:after="30" w:before="30" w:line="280"/>
      </w:pPr>
      <w:r>
        <w:rPr>
          <w:rFonts w:ascii="Calibri" w:cs="Calibri" w:eastAsia="Calibri" w:hAnsi="Calibri"/>
          <w:b/>
          <w:bCs/>
          <w:i w:val="false"/>
          <w:iCs w:val="false"/>
          <w:caps w:val="false"/>
          <w:color w:val="1A1A1A"/>
          <w:sz w:val="20"/>
          <w:szCs w:val="20"/>
        </w:rPr>
        <w:t xml:space="preserve">Unblock the in-flight stabilisation roadmap. </w:t>
      </w:r>
      <w:r>
        <w:rPr>
          <w:rFonts w:ascii="Calibri" w:cs="Calibri" w:eastAsia="Calibri" w:hAnsi="Calibri"/>
          <w:b w:val="false"/>
          <w:bCs w:val="false"/>
          <w:i w:val="false"/>
          <w:iCs w:val="false"/>
          <w:caps w:val="false"/>
          <w:color w:val="1A1A1A"/>
          <w:sz w:val="20"/>
          <w:szCs w:val="20"/>
        </w:rPr>
        <w:t xml:space="preserve">Specifically: timeline confirmation for Van Sales and Multi-Role UAM, scope definition for Anchor Order Fulfilment, and UAT bandwidth for the three modules currently in parallel testing.</w:t>
      </w:r>
    </w:p>
    <w:p>
      <w:pPr>
        <w:pStyle w:val="ListParagraph"/>
        <w:numPr>
          <w:ilvl w:val="0"/>
          <w:numId w:val="3"/>
        </w:numPr>
        <w:spacing w:after="30" w:before="30" w:line="280"/>
      </w:pPr>
      <w:r>
        <w:rPr>
          <w:rFonts w:ascii="Calibri" w:cs="Calibri" w:eastAsia="Calibri" w:hAnsi="Calibri"/>
          <w:b/>
          <w:bCs/>
          <w:i w:val="false"/>
          <w:iCs w:val="false"/>
          <w:caps w:val="false"/>
          <w:color w:val="1A1A1A"/>
          <w:sz w:val="20"/>
          <w:szCs w:val="20"/>
        </w:rPr>
        <w:t xml:space="preserve">Directional support to extend Fynd's mandate beyond DMS. </w:t>
      </w:r>
      <w:r>
        <w:rPr>
          <w:rFonts w:ascii="Calibri" w:cs="Calibri" w:eastAsia="Calibri" w:hAnsi="Calibri"/>
          <w:b w:val="false"/>
          <w:bCs w:val="false"/>
          <w:i w:val="false"/>
          <w:iCs w:val="false"/>
          <w:caps w:val="false"/>
          <w:color w:val="1A1A1A"/>
          <w:sz w:val="20"/>
          <w:szCs w:val="20"/>
        </w:rPr>
        <w:t xml:space="preserve">Marketing, Manufacturing, and Supply Chain — to converge on a single AI-first stack over the next two quarters, with RCPL as patient zero for the broader FMCG OS.</w:t>
      </w:r>
    </w:p>
    <w:p>
      <w:pPr>
        <w:pBdr>
          <w:left w:val="single" w:color="B08D3F" w:sz="18" w:space="12"/>
        </w:pBdr>
        <w:spacing w:after="60" w:before="200" w:line="290"/>
        <w:ind w:left="120"/>
        <w:jc w:val="left"/>
      </w:pPr>
      <w:r>
        <w:rPr>
          <w:rFonts w:ascii="Calibri" w:cs="Calibri" w:eastAsia="Calibri" w:hAnsi="Calibri"/>
          <w:b/>
          <w:bCs/>
          <w:i w:val="false"/>
          <w:iCs w:val="false"/>
          <w:caps w:val="false"/>
          <w:color w:val="0B2545"/>
          <w:sz w:val="20"/>
          <w:szCs w:val="20"/>
        </w:rPr>
        <w:t xml:space="preserve">The opportunity: </w:t>
      </w:r>
      <w:r>
        <w:rPr>
          <w:rFonts w:ascii="Calibri" w:cs="Calibri" w:eastAsia="Calibri" w:hAnsi="Calibri"/>
          <w:b w:val="false"/>
          <w:bCs w:val="false"/>
          <w:i w:val="false"/>
          <w:iCs w:val="false"/>
          <w:caps w:val="false"/>
          <w:color w:val="1A1A1A"/>
          <w:sz w:val="20"/>
          <w:szCs w:val="20"/>
        </w:rPr>
        <w:t xml:space="preserve">RCPL is large enough, fast enough, and integrated enough across the Reliance ecosystem to build the AI-native FMCG OS that the rest of the industry will eventually need to buy. The next six months decide whether RCPL is a </w:t>
      </w:r>
      <w:r>
        <w:rPr>
          <w:rFonts w:ascii="Calibri" w:cs="Calibri" w:eastAsia="Calibri" w:hAnsi="Calibri"/>
          <w:b/>
          <w:bCs/>
          <w:i/>
          <w:iCs/>
          <w:caps w:val="false"/>
          <w:color w:val="1A1A1A"/>
          <w:sz w:val="20"/>
          <w:szCs w:val="20"/>
        </w:rPr>
        <w:t xml:space="preserve">user</w:t>
      </w:r>
      <w:r>
        <w:rPr>
          <w:rFonts w:ascii="Calibri" w:cs="Calibri" w:eastAsia="Calibri" w:hAnsi="Calibri"/>
          <w:b w:val="false"/>
          <w:bCs w:val="false"/>
          <w:i w:val="false"/>
          <w:iCs w:val="false"/>
          <w:caps w:val="false"/>
          <w:color w:val="1A1A1A"/>
          <w:sz w:val="20"/>
          <w:szCs w:val="20"/>
        </w:rPr>
        <w:t xml:space="preserve"> of FMCG software or the </w:t>
      </w:r>
      <w:r>
        <w:rPr>
          <w:rFonts w:ascii="Calibri" w:cs="Calibri" w:eastAsia="Calibri" w:hAnsi="Calibri"/>
          <w:b/>
          <w:bCs/>
          <w:i/>
          <w:iCs/>
          <w:caps w:val="false"/>
          <w:color w:val="1A1A1A"/>
          <w:sz w:val="20"/>
          <w:szCs w:val="20"/>
        </w:rPr>
        <w:t xml:space="preserve">definitive platform</w:t>
      </w:r>
      <w:r>
        <w:rPr>
          <w:rFonts w:ascii="Calibri" w:cs="Calibri" w:eastAsia="Calibri" w:hAnsi="Calibri"/>
          <w:b w:val="false"/>
          <w:bCs w:val="false"/>
          <w:i w:val="false"/>
          <w:iCs w:val="false"/>
          <w:caps w:val="false"/>
          <w:color w:val="1A1A1A"/>
          <w:sz w:val="20"/>
          <w:szCs w:val="20"/>
        </w:rPr>
        <w:t xml:space="preserve"> for it.</w:t>
      </w:r>
    </w:p>
    <w:p>
      <w:pPr>
        <w:pBdr>
          <w:top w:val="single" w:color="D5DAE0" w:sz="6" w:space="8"/>
        </w:pBdr>
        <w:spacing w:after="0" w:before="280"/>
      </w:pPr>
      <w:r>
        <w:rPr>
          <w:rFonts w:ascii="Calibri" w:cs="Calibri" w:eastAsia="Calibri" w:hAnsi="Calibri"/>
          <w:b w:val="false"/>
          <w:bCs w:val="false"/>
          <w:i/>
          <w:iCs/>
          <w:caps w:val="false"/>
          <w:color w:val="5A6473"/>
          <w:sz w:val="16"/>
          <w:szCs w:val="16"/>
        </w:rPr>
        <w:t xml:space="preserve">Prepared by Fynd · For the Reliance APEX Board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RCPL Digital Platform — AI-Native FMCG OS · Note for APEX Board</dc:title>
  <dc:creator>Fynd</dc:creator>
  <cp:lastModifiedBy>Un-named</cp:lastModifiedBy>
  <cp:revision>1</cp:revision>
  <dcterms:created xsi:type="dcterms:W3CDTF">2026-05-01T05:05:52.350Z</dcterms:created>
  <dcterms:modified xsi:type="dcterms:W3CDTF">2026-05-01T05:05:52.368Z</dcterms:modified>
</cp:coreProperties>
</file>

<file path=docProps/custom.xml><?xml version="1.0" encoding="utf-8"?>
<Properties xmlns="http://schemas.openxmlformats.org/officeDocument/2006/custom-properties" xmlns:vt="http://schemas.openxmlformats.org/officeDocument/2006/docPropsVTypes"/>
</file>