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sz w:val="32"/>
          <w:szCs w:val="32"/>
          <w:rtl w:val="0"/>
        </w:rPr>
        <w:t xml:space="preserve">Group 5  Milestone 2</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sz w:val="24"/>
          <w:szCs w:val="24"/>
          <w:rtl w:val="0"/>
        </w:rPr>
        <w:t xml:space="preserve">Architecture, Security, Reliability, and Cost</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b w:val="1"/>
          <w:bCs w:val="1"/>
          <w:sz w:val="22"/>
          <w:szCs w:val="22"/>
          <w:rtl w:val="0"/>
        </w:rPr>
        <w:t xml:space="preserve">Module: </w:t>
      </w:r>
      <w:r w:rsidDel="00000000" w:rsidR="00000000" w:rsidRPr="00000000">
        <w:rPr>
          <w:sz w:val="22"/>
          <w:szCs w:val="22"/>
          <w:rtl w:val="0"/>
        </w:rPr>
        <w:t xml:space="preserve">4CPS501B Cloud Computing  Distributed Computing Part B</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b w:val="1"/>
          <w:bCs w:val="1"/>
          <w:sz w:val="22"/>
          <w:szCs w:val="22"/>
          <w:rtl w:val="0"/>
        </w:rPr>
        <w:t xml:space="preserve">Group: </w:t>
      </w:r>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b w:val="1"/>
          <w:bCs w:val="1"/>
          <w:sz w:val="22"/>
          <w:szCs w:val="22"/>
          <w:rtl w:val="0"/>
        </w:rPr>
        <w:t xml:space="preserve">Milestone 2: </w:t>
      </w:r>
      <w:r w:rsidDel="00000000" w:rsidR="00000000" w:rsidRPr="00000000">
        <w:rPr>
          <w:sz w:val="22"/>
          <w:szCs w:val="22"/>
          <w:rtl w:val="0"/>
        </w:rPr>
        <w:t xml:space="preserve">Architecture, Security, Reliability, and Cost</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b w:val="1"/>
          <w:bCs w:val="1"/>
          <w:sz w:val="22"/>
          <w:szCs w:val="22"/>
          <w:rtl w:val="0"/>
        </w:rPr>
        <w:t xml:space="preserve">Due: </w:t>
      </w:r>
      <w:r w:rsidDel="00000000" w:rsidR="00000000" w:rsidRPr="00000000">
        <w:rPr>
          <w:sz w:val="22"/>
          <w:szCs w:val="22"/>
          <w:rtl w:val="0"/>
        </w:rPr>
        <w:t xml:space="preserve">20 September 2026</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b w:val="1"/>
          <w:bCs w:val="1"/>
          <w:sz w:val="22"/>
          <w:szCs w:val="22"/>
          <w:rtl w:val="0"/>
        </w:rPr>
        <w:t xml:space="preserve">Lecturer: </w:t>
      </w:r>
      <w:r w:rsidDel="00000000" w:rsidR="00000000" w:rsidRPr="00000000">
        <w:rPr>
          <w:sz w:val="22"/>
          <w:szCs w:val="22"/>
          <w:rtl w:val="0"/>
        </w:rPr>
        <w:t xml:space="preserve">Prof. Matthew O. Adigun</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b w:val="1"/>
          <w:bCs w:val="1"/>
          <w:sz w:val="22"/>
          <w:szCs w:val="22"/>
          <w:rtl w:val="0"/>
        </w:rPr>
        <w:t xml:space="preserve">Repository: </w:t>
      </w:r>
      <w:r w:rsidDel="00000000" w:rsidR="00000000" w:rsidRPr="00000000">
        <w:rPr>
          <w:sz w:val="22"/>
          <w:szCs w:val="22"/>
          <w:rtl w:val="0"/>
        </w:rPr>
        <w:t xml:space="preserve">https://github.com/Sanele7/dlp-registration</w:t>
      </w:r>
      <w:r w:rsidDel="00000000" w:rsidR="00000000" w:rsidRPr="00000000">
        <w:rPr>
          <w:rtl w:val="0"/>
        </w:rPr>
      </w:r>
    </w:p>
    <w:p w:rsidR="00000000" w:rsidDel="00000000" w:rsidP="00000000" w:rsidRDefault="00000000" w:rsidRPr="00000000" w14:paraId="00000009">
      <w:pPr>
        <w:pStyle w:val="Heading2"/>
        <w:spacing w:after="120" w:before="240" w:lineRule="auto"/>
        <w:rPr>
          <w:color w:val="000000"/>
        </w:rPr>
      </w:pPr>
      <w:r w:rsidDel="00000000" w:rsidR="00000000" w:rsidRPr="00000000">
        <w:rPr>
          <w:color w:val="000000"/>
          <w:rtl w:val="0"/>
        </w:rPr>
        <w:t xml:space="preserve">Members and roles</w:t>
      </w:r>
    </w:p>
    <w:tbl>
      <w:tblPr>
        <w:tblStyle w:val="Table1"/>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600"/>
        <w:gridCol w:w="1800"/>
        <w:tblGridChange w:id="0">
          <w:tblGrid>
            <w:gridCol w:w="3400"/>
            <w:gridCol w:w="3600"/>
            <w:gridCol w:w="1800"/>
          </w:tblGrid>
        </w:tblGridChange>
      </w:tblGrid>
      <w:tr>
        <w:trPr>
          <w:cantSplit w:val="0"/>
          <w:tblHeader w:val="1"/>
        </w:trPr>
        <w:tc>
          <w:tcPr>
            <w:shd w:fill="ffffff" w:val="clea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b w:val="1"/>
                <w:bCs w:val="1"/>
                <w:sz w:val="20"/>
                <w:szCs w:val="20"/>
                <w:rtl w:val="0"/>
              </w:rPr>
              <w:t xml:space="preserve">Team Member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b w:val="1"/>
                <w:bCs w:val="1"/>
                <w:sz w:val="20"/>
                <w:szCs w:val="20"/>
                <w:rtl w:val="0"/>
              </w:rPr>
              <w:t xml:space="preserve">Role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b w:val="1"/>
                <w:bCs w:val="1"/>
                <w:sz w:val="20"/>
                <w:szCs w:val="20"/>
                <w:rtl w:val="0"/>
              </w:rPr>
              <w:t xml:space="preserve">Student number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sz w:val="20"/>
                <w:szCs w:val="20"/>
                <w:rtl w:val="0"/>
              </w:rPr>
              <w:t xml:space="preserve">Asename Kuphelele Malamule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sz w:val="20"/>
                <w:szCs w:val="20"/>
                <w:rtl w:val="0"/>
              </w:rPr>
              <w:t xml:space="preserve">Architecture and integration lead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sz w:val="20"/>
                <w:szCs w:val="20"/>
                <w:rtl w:val="0"/>
              </w:rPr>
              <w:t xml:space="preserve">202110371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sz w:val="20"/>
                <w:szCs w:val="20"/>
                <w:rtl w:val="0"/>
              </w:rPr>
              <w:t xml:space="preserve">Sanele Ngcobo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sz w:val="20"/>
                <w:szCs w:val="20"/>
                <w:rtl w:val="0"/>
              </w:rPr>
              <w:t xml:space="preserve">Cloud platform and security lead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sz w:val="20"/>
                <w:szCs w:val="20"/>
                <w:rtl w:val="0"/>
              </w:rPr>
              <w:t xml:space="preserve">202022672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sz w:val="20"/>
                <w:szCs w:val="20"/>
                <w:rtl w:val="0"/>
              </w:rPr>
              <w:t xml:space="preserve">Bandile Shezi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sz w:val="20"/>
                <w:szCs w:val="20"/>
                <w:rtl w:val="0"/>
              </w:rPr>
              <w:t xml:space="preserve">Function/application developer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sz w:val="20"/>
                <w:szCs w:val="20"/>
                <w:rtl w:val="0"/>
              </w:rPr>
              <w:t xml:space="preserve">202222475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sz w:val="20"/>
                <w:szCs w:val="20"/>
                <w:rtl w:val="0"/>
              </w:rPr>
              <w:t xml:space="preserve">Unam Mkhomanzi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sz w:val="20"/>
                <w:szCs w:val="20"/>
                <w:rtl w:val="0"/>
              </w:rPr>
              <w:t xml:space="preserve">Data and observability lead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sz w:val="20"/>
                <w:szCs w:val="20"/>
                <w:rtl w:val="0"/>
              </w:rPr>
              <w:t xml:space="preserve">230014802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sz w:val="20"/>
                <w:szCs w:val="20"/>
                <w:rtl w:val="0"/>
              </w:rPr>
              <w:t xml:space="preserve">Siphokazi Zothile Mongisa Majozi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sz w:val="20"/>
                <w:szCs w:val="20"/>
                <w:rtl w:val="0"/>
              </w:rPr>
              <w:t xml:space="preserve">QA, cost and documentation lead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sz w:val="20"/>
                <w:szCs w:val="20"/>
                <w:rtl w:val="0"/>
              </w:rPr>
              <w:t xml:space="preserve">202127668</w:t>
            </w:r>
            <w:r w:rsidDel="00000000" w:rsidR="00000000" w:rsidRPr="00000000">
              <w:rPr>
                <w:rtl w:val="0"/>
              </w:rPr>
            </w:r>
          </w:p>
        </w:tc>
      </w:tr>
    </w:tbl>
    <w:p w:rsidR="00000000" w:rsidDel="00000000" w:rsidP="00000000" w:rsidRDefault="00000000" w:rsidRPr="00000000" w14:paraId="0000001C">
      <w:pPr>
        <w:pStyle w:val="Heading1"/>
        <w:spacing w:after="150" w:before="300" w:lineRule="auto"/>
        <w:rPr>
          <w:color w:val="000000"/>
        </w:rPr>
      </w:pPr>
      <w:r w:rsidDel="00000000" w:rsidR="00000000" w:rsidRPr="00000000">
        <w:rPr>
          <w:color w:val="000000"/>
          <w:rtl w:val="0"/>
        </w:rPr>
        <w:t xml:space="preserve">1. Architecture</w:t>
      </w:r>
    </w:p>
    <w:p w:rsidR="00000000" w:rsidDel="00000000" w:rsidP="00000000" w:rsidRDefault="00000000" w:rsidRPr="00000000" w14:paraId="0000001D">
      <w:pPr>
        <w:pStyle w:val="Heading2"/>
        <w:spacing w:after="120" w:before="240" w:lineRule="auto"/>
        <w:rPr>
          <w:color w:val="000000"/>
        </w:rPr>
      </w:pPr>
      <w:r w:rsidDel="00000000" w:rsidR="00000000" w:rsidRPr="00000000">
        <w:rPr>
          <w:color w:val="000000"/>
          <w:rtl w:val="0"/>
        </w:rPr>
        <w:t xml:space="preserve">1.1 Components annotation</w:t>
      </w:r>
    </w:p>
    <w:p w:rsidR="00000000" w:rsidDel="00000000" w:rsidP="00000000" w:rsidRDefault="00000000" w:rsidRPr="00000000" w14:paraId="0000001E">
      <w:pPr>
        <w:spacing w:after="160" w:lineRule="auto"/>
        <w:rPr/>
      </w:pPr>
      <w:r w:rsidDel="00000000" w:rsidR="00000000" w:rsidRPr="00000000">
        <w:rPr>
          <w:sz w:val="22"/>
          <w:szCs w:val="22"/>
          <w:rtl w:val="0"/>
        </w:rPr>
        <w:t xml:space="preserve">Each component below is described by requirement, service role, trust boundary, input/output, failure behaviour, permission, and cost unit.</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b w:val="1"/>
          <w:bCs w:val="1"/>
          <w:sz w:val="22"/>
          <w:szCs w:val="22"/>
          <w:rtl w:val="0"/>
        </w:rPr>
        <w:t xml:space="preserve">Application client. </w:t>
      </w:r>
      <w:r w:rsidDel="00000000" w:rsidR="00000000" w:rsidRPr="00000000">
        <w:rPr>
          <w:sz w:val="22"/>
          <w:szCs w:val="22"/>
          <w:rtl w:val="0"/>
        </w:rPr>
        <w:t xml:space="preserve">Satisfies the requirement that a community applicant can submit one registration event. It is a browser or HTTP client and sits outside the trust boundary. It sends the registration payload and receives a status plus a correlation ID. If it receives no response at all, it cannot tell whether the request was processed; this is a known limitation of a stateless public endpoint with no client-side retry logic, not a defect we are claiming to have solved.</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b w:val="1"/>
          <w:bCs w:val="1"/>
          <w:sz w:val="22"/>
          <w:szCs w:val="22"/>
          <w:rtl w:val="0"/>
        </w:rPr>
        <w:t xml:space="preserve">API Gateway (HTTP API). </w:t>
      </w:r>
      <w:r w:rsidDel="00000000" w:rsidR="00000000" w:rsidRPr="00000000">
        <w:rPr>
          <w:sz w:val="22"/>
          <w:szCs w:val="22"/>
          <w:rtl w:val="0"/>
        </w:rPr>
        <w:t xml:space="preserve">Satisfies the trigger requirement for POST /registrations. It is the first component inside the trust boundary, routing to the Lambda function through a proxy integration. If the Lambda function times out or throws an unhandled exception, API Gateway returns an unshaped 5xx rather than our documented 503 contract, so the Lambda function is responsible for catching its own errors and always returning a shaped response. The route carries no authentication, since applicants have no prior account, an intentional design choice given the applicant population described in Milestone 1. Billing is per million requests.</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b w:val="1"/>
          <w:bCs w:val="1"/>
          <w:sz w:val="22"/>
          <w:szCs w:val="22"/>
          <w:rtl w:val="0"/>
        </w:rPr>
        <w:t xml:space="preserve">Lambda: dlp-registration-processor. </w:t>
      </w:r>
      <w:r w:rsidDel="00000000" w:rsidR="00000000" w:rsidRPr="00000000">
        <w:rPr>
          <w:sz w:val="22"/>
          <w:szCs w:val="22"/>
          <w:rtl w:val="0"/>
        </w:rPr>
        <w:t xml:space="preserve">Satisfies the scope items from Milestone 1: validating the payload, computing APS, checking duplicates, and enforcing capacity. It is stateless and is the only component that applies business rules. It assumes dlp-lambda-role, which is scoped to three named DynamoDB actions on one named table and two named log actions on one named log group, with no wildcards. Billing is per invocation plus GB-seconds of compute.</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b w:val="1"/>
          <w:bCs w:val="1"/>
          <w:sz w:val="22"/>
          <w:szCs w:val="22"/>
          <w:rtl w:val="0"/>
        </w:rPr>
        <w:t xml:space="preserve">DynamoDB: dlp-registrations. </w:t>
      </w:r>
      <w:r w:rsidDel="00000000" w:rsidR="00000000" w:rsidRPr="00000000">
        <w:rPr>
          <w:sz w:val="22"/>
          <w:szCs w:val="22"/>
          <w:rtl w:val="0"/>
        </w:rPr>
        <w:t xml:space="preserve">Satisfies the requirement for durable state and atomic capacity/duplicate enforcement. It is the sole holder of business state and is written only by dlp-lambda-role. Unavailability of this component is the failure scenario we selected for the Milestone 3 test (Section 4). Billing is per read/write request unit plus storage.</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sz w:val="22"/>
          <w:szCs w:val="22"/>
          <w:rtl w:val="0"/>
        </w:rPr>
        <w:t xml:space="preserve">The table holds two distinct kinds of item: individual registration records, and a single sentinel row tracking remaining capacity. Seat allocation is enforced by an atomic conditional UpdateItem against the counter row — decrementing only if the remaining count is greater than zero — which is what prevents two concurrent applications from both succeeding against the final seat. This is shown as two separate items in the architecture diagram specifically to make that mechanism visible rather than implicit.</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b w:val="1"/>
          <w:bCs w:val="1"/>
          <w:sz w:val="22"/>
          <w:szCs w:val="22"/>
          <w:rtl w:val="0"/>
        </w:rPr>
        <w:t xml:space="preserve">CloudWatch Logs. </w:t>
      </w:r>
      <w:r w:rsidDel="00000000" w:rsidR="00000000" w:rsidRPr="00000000">
        <w:rPr>
          <w:sz w:val="22"/>
          <w:szCs w:val="22"/>
          <w:rtl w:val="0"/>
        </w:rPr>
        <w:t xml:space="preserve">Satisfies the requirement to emit a structured log entry for every accepted, rejected, and failed execution. Each entry carries correlationId, timestamp, outcome, reason, and only the first six characters of the ID hash, never the raw national ID or the full hash. A failure to write a log entry must never block or roll back a successful DynamoDB write; the database write is the system's record of truth, and a lost log line is a monitoring gap rather than a lost registration. Billing is per GB ingested plus per GB-month retained.</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b w:val="1"/>
          <w:bCs w:val="1"/>
          <w:sz w:val="22"/>
          <w:szCs w:val="22"/>
          <w:rtl w:val="0"/>
        </w:rPr>
        <w:t xml:space="preserve">Intake verification. </w:t>
      </w:r>
      <w:r w:rsidDel="00000000" w:rsidR="00000000" w:rsidRPr="00000000">
        <w:rPr>
          <w:sz w:val="22"/>
          <w:szCs w:val="22"/>
          <w:rtl w:val="0"/>
        </w:rPr>
        <w:t xml:space="preserve">Explicitly out of scope per Milestone 1. It is a manual process performed by the programme administrator, who looks up a confirmed record by correlation ID. The system does not write back a "verified" state.</w:t>
      </w:r>
      <w:r w:rsidDel="00000000" w:rsidR="00000000" w:rsidRPr="00000000">
        <w:rPr>
          <w:rtl w:val="0"/>
        </w:rPr>
      </w:r>
    </w:p>
    <w:p w:rsidR="00000000" w:rsidDel="00000000" w:rsidP="00000000" w:rsidRDefault="00000000" w:rsidRPr="00000000" w14:paraId="00000026">
      <w:pPr>
        <w:pStyle w:val="Heading1"/>
        <w:spacing w:after="150" w:before="300" w:lineRule="auto"/>
        <w:rPr>
          <w:color w:val="000000"/>
        </w:rPr>
      </w:pPr>
      <w:r w:rsidDel="00000000" w:rsidR="00000000" w:rsidRPr="00000000">
        <w:rPr>
          <w:color w:val="000000"/>
          <w:rtl w:val="0"/>
        </w:rPr>
        <w:t xml:space="preserve">2. Service-choice decision records</w:t>
      </w:r>
    </w:p>
    <w:p w:rsidR="00000000" w:rsidDel="00000000" w:rsidP="00000000" w:rsidRDefault="00000000" w:rsidRPr="00000000" w14:paraId="00000027">
      <w:pPr>
        <w:spacing w:after="160" w:lineRule="auto"/>
        <w:rPr/>
      </w:pPr>
      <w:r w:rsidDel="00000000" w:rsidR="00000000" w:rsidRPr="00000000">
        <w:rPr>
          <w:b w:val="1"/>
          <w:bCs w:val="1"/>
          <w:sz w:val="22"/>
          <w:szCs w:val="22"/>
          <w:rtl w:val="0"/>
        </w:rPr>
        <w:t xml:space="preserve">Platform: </w:t>
      </w:r>
      <w:r w:rsidDel="00000000" w:rsidR="00000000" w:rsidRPr="00000000">
        <w:rPr>
          <w:sz w:val="22"/>
          <w:szCs w:val="22"/>
          <w:rtl w:val="0"/>
        </w:rPr>
        <w:t xml:space="preserve">LocalStack, pinned to version 4.14.0. Selected over AWS native serverless (blocked by the lecturer authorization gate not yet being confirmed at Milestone 1) and over a provider-neutral Docker Compose stack (loses alignment with the module's AWS content). The version pin exists because LocalStack's image consolidation in March 2026 made an auth token mandatory from version 2026.03.0 onward; 4.14.0 is the last release that starts without one, avoiding a per-member registration and secret. This decision is revisited if AWS Educate access becomes available, if two or more members cannot run the environment, or if the pinned image becomes unavailable.</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b w:val="1"/>
          <w:bCs w:val="1"/>
          <w:sz w:val="22"/>
          <w:szCs w:val="22"/>
          <w:rtl w:val="0"/>
        </w:rPr>
        <w:t xml:space="preserve">API Gateway type: </w:t>
      </w:r>
      <w:r w:rsidDel="00000000" w:rsidR="00000000" w:rsidRPr="00000000">
        <w:rPr>
          <w:sz w:val="22"/>
          <w:szCs w:val="22"/>
          <w:rtl w:val="0"/>
        </w:rPr>
        <w:t xml:space="preserve">HTTP API, not REST API. The system needs exactly one public, unauthenticated route with no caching, no usage plans, and no API keys — the features that justify REST API's higher cost. HTTP API supports the Lambda proxy integration this system relies on, at roughly a third of the per-request price. We accept that HTTP API has no built-in request validation, because validation already happens inside the Lambda function; a second validation layer at the gateway would only be a second place for the same rules to drift out of sync.</w:t>
      </w:r>
      <w:r w:rsidDel="00000000" w:rsidR="00000000" w:rsidRPr="00000000">
        <w:rPr>
          <w:rtl w:val="0"/>
        </w:rPr>
      </w:r>
    </w:p>
    <w:p w:rsidR="00000000" w:rsidDel="00000000" w:rsidP="00000000" w:rsidRDefault="00000000" w:rsidRPr="00000000" w14:paraId="00000029">
      <w:pPr>
        <w:pStyle w:val="Heading1"/>
        <w:spacing w:after="150" w:before="300" w:lineRule="auto"/>
        <w:rPr>
          <w:color w:val="000000"/>
        </w:rPr>
      </w:pPr>
      <w:r w:rsidDel="00000000" w:rsidR="00000000" w:rsidRPr="00000000">
        <w:rPr>
          <w:color w:val="000000"/>
          <w:rtl w:val="0"/>
        </w:rPr>
        <w:t xml:space="preserve">3. Interface contract and data/message definition</w:t>
      </w:r>
    </w:p>
    <w:p w:rsidR="00000000" w:rsidDel="00000000" w:rsidP="00000000" w:rsidRDefault="00000000" w:rsidRPr="00000000" w14:paraId="0000002A">
      <w:pPr>
        <w:pStyle w:val="Heading2"/>
        <w:spacing w:after="120" w:before="240" w:lineRule="auto"/>
        <w:rPr>
          <w:color w:val="000000"/>
        </w:rPr>
      </w:pPr>
      <w:r w:rsidDel="00000000" w:rsidR="00000000" w:rsidRPr="00000000">
        <w:rPr>
          <w:color w:val="000000"/>
          <w:rtl w:val="0"/>
        </w:rPr>
        <w:t xml:space="preserve">SubmitRegistration</w:t>
      </w:r>
    </w:p>
    <w:p w:rsidR="00000000" w:rsidDel="00000000" w:rsidP="00000000" w:rsidRDefault="00000000" w:rsidRPr="00000000" w14:paraId="0000002B">
      <w:pPr>
        <w:spacing w:after="160" w:lineRule="auto"/>
        <w:rPr/>
      </w:pPr>
      <w:r w:rsidDel="00000000" w:rsidR="00000000" w:rsidRPr="00000000">
        <w:rPr>
          <w:b w:val="1"/>
          <w:bCs w:val="1"/>
          <w:sz w:val="22"/>
          <w:szCs w:val="22"/>
          <w:rtl w:val="0"/>
        </w:rPr>
        <w:t xml:space="preserve">Trigger: </w:t>
      </w:r>
      <w:r w:rsidDel="00000000" w:rsidR="00000000" w:rsidRPr="00000000">
        <w:rPr>
          <w:sz w:val="22"/>
          <w:szCs w:val="22"/>
          <w:rtl w:val="0"/>
        </w:rPr>
        <w:t xml:space="preserve">POST /registrations, API Gateway (HTTP API) to Lambda dlp-registration-processor.</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b w:val="1"/>
          <w:bCs w:val="1"/>
          <w:sz w:val="22"/>
          <w:szCs w:val="22"/>
          <w:rtl w:val="0"/>
        </w:rPr>
        <w:t xml:space="preserve">Input fields: </w:t>
      </w:r>
      <w:r w:rsidDel="00000000" w:rsidR="00000000" w:rsidRPr="00000000">
        <w:rPr>
          <w:sz w:val="22"/>
          <w:szCs w:val="22"/>
          <w:rtl w:val="0"/>
        </w:rPr>
        <w:t xml:space="preserve">correlationId (UUID v4, generated by the processor and returned in the response rather than trusted from the client); nationalId (13-digit string, never stored raw); mobileNumber (South African format); residenceArea; residenceDeclaration (boolean, must be true); highestQualification (must equal "Grade 12", self-declared, since the system does not verify against any authority, consistent with Milestone 1's stated privacy boundary); subjectResults (seven subject–percentage pairs).</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b w:val="1"/>
          <w:bCs w:val="1"/>
          <w:sz w:val="22"/>
          <w:szCs w:val="22"/>
          <w:rtl w:val="0"/>
        </w:rPr>
        <w:t xml:space="preserve">Validation order. </w:t>
      </w:r>
      <w:r w:rsidDel="00000000" w:rsidR="00000000" w:rsidRPr="00000000">
        <w:rPr>
          <w:rFonts w:ascii="Gungsuh" w:cs="Gungsuh" w:eastAsia="Gungsuh" w:hAnsi="Gungsuh"/>
          <w:sz w:val="22"/>
          <w:szCs w:val="22"/>
          <w:rtl w:val="0"/>
        </w:rPr>
        <w:t xml:space="preserve">Validation short-circuits: the first rule an applicant fails is the only reason returned, so no applicant learns how close they came to a threshold. The order is: payload shape and types; national ID format and checksum; derived age 18–25; qualification equals Grade 12; APS ≤ 20 (best six of seven subjects, excluding Life Orientation); residence declared and matching; mobile number format; duplicate check (atomic conditional write on the ID hash); capacity check (atomic conditional write on the seat counter). The last two are store-level operations rather than application logic, since checking them outside the atomic write would reintroduce the exact race condition Milestone 1 rules out.</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b w:val="1"/>
          <w:bCs w:val="1"/>
          <w:sz w:val="22"/>
          <w:szCs w:val="22"/>
          <w:rtl w:val="0"/>
        </w:rPr>
        <w:t xml:space="preserve">Success response: </w:t>
      </w:r>
      <w:r w:rsidDel="00000000" w:rsidR="00000000" w:rsidRPr="00000000">
        <w:rPr>
          <w:sz w:val="22"/>
          <w:szCs w:val="22"/>
          <w:rtl w:val="0"/>
        </w:rPr>
        <w:t xml:space="preserve">201 Created, status: "PROVISIONALLY_ACCEPTED", with correlation ID, place number, and the list of documents required at intake.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00"/>
        <w:tblGridChange w:id="0">
          <w:tblGrid>
            <w:gridCol w:w="1200"/>
            <w:gridCol w:w="3200"/>
            <w:gridCol w:w="4600"/>
          </w:tblGrid>
        </w:tblGridChange>
      </w:tblGrid>
      <w:tr>
        <w:trPr>
          <w:cantSplit w:val="0"/>
          <w:tblHeader w:val="1"/>
        </w:trPr>
        <w:tc>
          <w:tcPr>
            <w:shd w:fill="ffffff"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b w:val="1"/>
                <w:bCs w:val="1"/>
                <w:sz w:val="20"/>
                <w:szCs w:val="20"/>
                <w:rtl w:val="0"/>
              </w:rPr>
              <w:t xml:space="preserve">Status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1"/>
                <w:bCs w:val="1"/>
                <w:sz w:val="20"/>
                <w:szCs w:val="20"/>
                <w:rtl w:val="0"/>
              </w:rPr>
              <w:t xml:space="preserve">Reason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1"/>
                <w:bCs w:val="1"/>
                <w:sz w:val="20"/>
                <w:szCs w:val="20"/>
                <w:rtl w:val="0"/>
              </w:rPr>
              <w:t xml:space="preserve">Meaning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sz w:val="20"/>
                <w:szCs w:val="20"/>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sz w:val="20"/>
                <w:szCs w:val="20"/>
                <w:rtl w:val="0"/>
              </w:rPr>
              <w:t xml:space="preserve">INVALID_PAYLOAD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sz w:val="20"/>
                <w:szCs w:val="20"/>
                <w:rtl w:val="0"/>
              </w:rPr>
              <w:t xml:space="preserve">Malformed or wrongly typed body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sz w:val="20"/>
                <w:szCs w:val="20"/>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sz w:val="20"/>
                <w:szCs w:val="20"/>
                <w:rtl w:val="0"/>
              </w:rPr>
              <w:t xml:space="preserve">INVALID_NATIONAL_ID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sz w:val="20"/>
                <w:szCs w:val="20"/>
                <w:rtl w:val="0"/>
              </w:rPr>
              <w:t xml:space="preserve">Wrong length, invalid date, or checksum failure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sz w:val="20"/>
                <w:szCs w:val="20"/>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sz w:val="20"/>
                <w:szCs w:val="20"/>
                <w:rtl w:val="0"/>
              </w:rPr>
              <w:t xml:space="preserve">AGE_OUTSIDE_RANGE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sz w:val="20"/>
                <w:szCs w:val="20"/>
                <w:rtl w:val="0"/>
              </w:rPr>
              <w:t xml:space="preserve">Derived age outside 18–25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sz w:val="20"/>
                <w:szCs w:val="20"/>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sz w:val="20"/>
                <w:szCs w:val="20"/>
                <w:rtl w:val="0"/>
              </w:rPr>
              <w:t xml:space="preserve">APS_ABOVE_CEILING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sz w:val="20"/>
                <w:szCs w:val="20"/>
                <w:rtl w:val="0"/>
              </w:rPr>
              <w:t xml:space="preserve">APS total over 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sz w:val="20"/>
                <w:szCs w:val="20"/>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sz w:val="20"/>
                <w:szCs w:val="20"/>
                <w:rtl w:val="0"/>
              </w:rPr>
              <w:t xml:space="preserve">OUTSIDE_SERVICE_AREA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20"/>
                <w:szCs w:val="20"/>
                <w:rtl w:val="0"/>
              </w:rPr>
              <w:t xml:space="preserve">Residence not declared or area mismatched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20"/>
                <w:szCs w:val="20"/>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20"/>
                <w:szCs w:val="20"/>
                <w:rtl w:val="0"/>
              </w:rPr>
              <w:t xml:space="preserve">INVALID_MOBILE_NUMBER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20"/>
                <w:szCs w:val="20"/>
                <w:rtl w:val="0"/>
              </w:rPr>
              <w:t xml:space="preserve">Fails South African mobile format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20"/>
                <w:szCs w:val="20"/>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20"/>
                <w:szCs w:val="20"/>
                <w:rtl w:val="0"/>
              </w:rPr>
              <w:t xml:space="preserve">DUPLICATE_REGISTRATION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20"/>
                <w:szCs w:val="20"/>
                <w:rtl w:val="0"/>
              </w:rPr>
              <w:t xml:space="preserve">National ID hash already recorded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sz w:val="20"/>
                <w:szCs w:val="20"/>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sz w:val="20"/>
                <w:szCs w:val="20"/>
                <w:rtl w:val="0"/>
              </w:rPr>
              <w:t xml:space="preserve">PROGRAMME_FULL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20"/>
                <w:szCs w:val="20"/>
                <w:rtl w:val="0"/>
              </w:rPr>
              <w:t xml:space="preserve">Capacity counter already at zero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sz w:val="20"/>
                <w:szCs w:val="20"/>
                <w:rtl w:val="0"/>
              </w:rPr>
              <w:t xml:space="preserve">503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20"/>
                <w:szCs w:val="20"/>
                <w:rtl w:val="0"/>
              </w:rPr>
              <w:t xml:space="preserve">SERVICE_UNAVAILABLE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20"/>
                <w:szCs w:val="20"/>
                <w:rtl w:val="0"/>
              </w:rPr>
              <w:t xml:space="preserve">Store unreachable; nothing was recorded</w:t>
            </w:r>
            <w:r w:rsidDel="00000000" w:rsidR="00000000" w:rsidRPr="00000000">
              <w:rPr>
                <w:rtl w:val="0"/>
              </w:rPr>
            </w:r>
          </w:p>
        </w:tc>
      </w:tr>
    </w:tbl>
    <w:p w:rsidR="00000000" w:rsidDel="00000000" w:rsidP="00000000" w:rsidRDefault="00000000" w:rsidRPr="00000000" w14:paraId="0000004D">
      <w:pPr>
        <w:spacing w:after="160" w:lineRule="auto"/>
        <w:rPr/>
      </w:pPr>
      <w:r w:rsidDel="00000000" w:rsidR="00000000" w:rsidRPr="00000000">
        <w:rPr>
          <w:sz w:val="22"/>
          <w:szCs w:val="22"/>
          <w:rtl w:val="0"/>
        </w:rPr>
        <w:t xml:space="preserve">Idempotency: the SHA-256 hash of the national ID is the table's partition key. A second submission with the same ID is rejected as a duplicate before consuming a seat and is never processed twice.</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sz w:val="22"/>
          <w:szCs w:val="22"/>
          <w:rtl w:val="0"/>
        </w:rPr>
        <w:t xml:space="preserve">Of the validation rules above, national ID checking and APS calculation are implemented and unit-tested. During unit testing, two implementation defects were found and corrected: an inconsistency between the Luhn checksum's digit-indexing in the validator versus a separately written test-data generator (resolved by standardising both on a single, documented algorithm), and an off-by-one in the APS subject count that did not correctly account for Life Orientation being present in the input but excluded from the total (resolved by correcting the expected count from seven to six). Both are recorded in the corresponding commit messages in the repository history. Age-range, residence, and mobile-number checks are specified here but not yet coded — this is the acknowledged gap the team carries into Milestone 3.</w:t>
      </w:r>
      <w:r w:rsidDel="00000000" w:rsidR="00000000" w:rsidRPr="00000000">
        <w:rPr>
          <w:rtl w:val="0"/>
        </w:rPr>
      </w:r>
    </w:p>
    <w:p w:rsidR="00000000" w:rsidDel="00000000" w:rsidP="00000000" w:rsidRDefault="00000000" w:rsidRPr="00000000" w14:paraId="0000004F">
      <w:pPr>
        <w:pStyle w:val="Heading2"/>
        <w:spacing w:after="120" w:before="240" w:lineRule="auto"/>
        <w:rPr>
          <w:color w:val="000000"/>
        </w:rPr>
      </w:pPr>
      <w:r w:rsidDel="00000000" w:rsidR="00000000" w:rsidRPr="00000000">
        <w:rPr>
          <w:color w:val="000000"/>
          <w:rtl w:val="0"/>
        </w:rPr>
        <w:t xml:space="preserve">Validation rules</w:t>
      </w:r>
    </w:p>
    <w:p w:rsidR="00000000" w:rsidDel="00000000" w:rsidP="00000000" w:rsidRDefault="00000000" w:rsidRPr="00000000" w14:paraId="00000050">
      <w:pPr>
        <w:spacing w:after="160" w:lineRule="auto"/>
        <w:rPr/>
      </w:pPr>
      <w:r w:rsidDel="00000000" w:rsidR="00000000" w:rsidRPr="00000000">
        <w:rPr>
          <w:sz w:val="22"/>
          <w:szCs w:val="22"/>
          <w:rtl w:val="0"/>
        </w:rPr>
        <w:t xml:space="preserve">National ID must be exactly 13 numeric digits, its first six digits must form a valid calendar date, and it must pass the South African ID checksum; age is derived from this and never self-declared. APS is calculated from the best six of seven subjects, excluding Life Orientation, against a ceiling of 20. Residence requires residenceDeclaration to be true and residenceArea to match the programme's fixed service area, self-declared and not verified against any authority. The mobile number must match a valid South African format; the team has not yet finalized whether 0821234567, +27821234567, and 27821234567 are treated as equivalent or whether one canonical form is required. Duplicate and capacity checks are enforced entirely at the data-store level through atomic conditional writes, not as separate application-level validators.</w:t>
      </w:r>
      <w:r w:rsidDel="00000000" w:rsidR="00000000" w:rsidRPr="00000000">
        <w:rPr>
          <w:rtl w:val="0"/>
        </w:rPr>
      </w:r>
    </w:p>
    <w:p w:rsidR="00000000" w:rsidDel="00000000" w:rsidP="00000000" w:rsidRDefault="00000000" w:rsidRPr="00000000" w14:paraId="00000051">
      <w:pPr>
        <w:pStyle w:val="Heading1"/>
        <w:spacing w:after="150" w:before="300" w:lineRule="auto"/>
        <w:rPr>
          <w:color w:val="000000"/>
        </w:rPr>
      </w:pPr>
      <w:r w:rsidDel="00000000" w:rsidR="00000000" w:rsidRPr="00000000">
        <w:rPr>
          <w:color w:val="000000"/>
          <w:rtl w:val="0"/>
        </w:rPr>
        <w:t xml:space="preserve">4. Failure table</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600"/>
        <w:gridCol w:w="2200"/>
        <w:tblGridChange w:id="0">
          <w:tblGrid>
            <w:gridCol w:w="2000"/>
            <w:gridCol w:w="2200"/>
            <w:gridCol w:w="2600"/>
            <w:gridCol w:w="2200"/>
          </w:tblGrid>
        </w:tblGridChange>
      </w:tblGrid>
      <w:tr>
        <w:trPr>
          <w:cantSplit w:val="0"/>
          <w:tblHeader w:val="1"/>
        </w:trPr>
        <w:tc>
          <w:tcPr>
            <w:shd w:fill="ffffff"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b w:val="1"/>
                <w:bCs w:val="1"/>
                <w:sz w:val="20"/>
                <w:szCs w:val="20"/>
                <w:rtl w:val="0"/>
              </w:rPr>
              <w:t xml:space="preserve">Failure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b w:val="1"/>
                <w:bCs w:val="1"/>
                <w:sz w:val="20"/>
                <w:szCs w:val="20"/>
                <w:rtl w:val="0"/>
              </w:rPr>
              <w:t xml:space="preserve">Trigger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b w:val="1"/>
                <w:bCs w:val="1"/>
                <w:sz w:val="20"/>
                <w:szCs w:val="20"/>
                <w:rtl w:val="0"/>
              </w:rPr>
              <w:t xml:space="preserve">Expected behaviour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b w:val="1"/>
                <w:bCs w:val="1"/>
                <w:sz w:val="20"/>
                <w:szCs w:val="20"/>
                <w:rtl w:val="0"/>
              </w:rPr>
              <w:t xml:space="preserve">Recovery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20"/>
                <w:szCs w:val="20"/>
                <w:rtl w:val="0"/>
              </w:rPr>
              <w:t xml:space="preserve">Registration store unavailable — selected for the Milestone 3 test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sz w:val="20"/>
                <w:szCs w:val="20"/>
                <w:rtl w:val="0"/>
              </w:rPr>
              <w:t xml:space="preserve">Data store stopped or unreachable mid-request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sz w:val="20"/>
                <w:szCs w:val="20"/>
                <w:rtl w:val="0"/>
              </w:rPr>
              <w:t xml:space="preserve">503 SERVICE_UNAVAILABLE, stating plainly that nothing was recorded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sz w:val="20"/>
                <w:szCs w:val="20"/>
                <w:rtl w:val="0"/>
              </w:rPr>
              <w:t xml:space="preserve">Applicant retries; no partial state exists because the store never acknowledged the write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sz w:val="20"/>
                <w:szCs w:val="20"/>
                <w:rtl w:val="0"/>
              </w:rPr>
              <w:t xml:space="preserve">Malformed payload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sz w:val="20"/>
                <w:szCs w:val="20"/>
                <w:rtl w:val="0"/>
              </w:rPr>
              <w:t xml:space="preserve">Missing or wrongly typed field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20"/>
                <w:szCs w:val="20"/>
                <w:rtl w:val="0"/>
              </w:rPr>
              <w:t xml:space="preserve">422 INVALID_PAYLOAD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20"/>
                <w:szCs w:val="20"/>
                <w:rtl w:val="0"/>
              </w:rPr>
              <w:t xml:space="preserve">Applicant corrects and resubmits; no state written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20"/>
                <w:szCs w:val="20"/>
                <w:rtl w:val="0"/>
              </w:rPr>
              <w:t xml:space="preserve">Duplicate submission race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20"/>
                <w:szCs w:val="20"/>
                <w:rtl w:val="0"/>
              </w:rPr>
              <w:t xml:space="preserve">Two requests with the same national ID arrive concurrently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20"/>
                <w:szCs w:val="20"/>
                <w:rtl w:val="0"/>
              </w:rPr>
              <w:t xml:space="preserve">The later request loses the atomic write and receives 409 DUPLICATE_REGISTRATION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20"/>
                <w:szCs w:val="20"/>
                <w:rtl w:val="0"/>
              </w:rPr>
              <w:t xml:space="preserve">Correct behaviour, not a failure — demonstrated as required by Milestone 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20"/>
                <w:szCs w:val="20"/>
                <w:rtl w:val="0"/>
              </w:rPr>
              <w:t xml:space="preserve">Capacity race on the last seat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20"/>
                <w:szCs w:val="20"/>
                <w:rtl w:val="0"/>
              </w:rPr>
              <w:t xml:space="preserve">Two eligible applications arrive for seat 10 simultaneously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20"/>
                <w:szCs w:val="20"/>
                <w:rtl w:val="0"/>
              </w:rPr>
              <w:t xml:space="preserve">One succeeds, and the counter reaches 10; the second is evaluated against the updated counter and receives 409 PROGRAMME_FULL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20"/>
                <w:szCs w:val="20"/>
                <w:rtl w:val="0"/>
              </w:rPr>
              <w:t xml:space="preserve">Correct behaviour, not a failure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20"/>
                <w:szCs w:val="20"/>
                <w:rtl w:val="0"/>
              </w:rPr>
              <w:t xml:space="preserve">Lambda cold start or timeout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20"/>
                <w:szCs w:val="20"/>
                <w:rtl w:val="0"/>
              </w:rPr>
              <w:t xml:space="preserve">First invocation after idle, or a slow store response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20"/>
                <w:szCs w:val="20"/>
                <w:rtl w:val="0"/>
              </w:rPr>
              <w:t xml:space="preserve">Added latency; if the function's own timeout is exceeded before it catches the error, API Gateway returns an unshaped 5xx instead of our documented 503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20"/>
                <w:szCs w:val="20"/>
                <w:rtl w:val="0"/>
              </w:rPr>
              <w:t xml:space="preserve">The handler needs its own internal timeout, shorter than the function's configured timeout, so it can catch the failure and return the documented contract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20"/>
                <w:szCs w:val="20"/>
                <w:rtl w:val="0"/>
              </w:rPr>
              <w:t xml:space="preserve">Log sink unreachable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20"/>
                <w:szCs w:val="20"/>
                <w:rtl w:val="0"/>
              </w:rPr>
              <w:t xml:space="preserve">CloudWatch unavailable while the store is still up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20"/>
                <w:szCs w:val="20"/>
                <w:rtl w:val="0"/>
              </w:rPr>
              <w:t xml:space="preserve">The registration must still be completed and returned to the applicant; a logging failure must never block or roll back a successful store write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20"/>
                <w:szCs w:val="20"/>
                <w:rtl w:val="0"/>
              </w:rPr>
              <w:t xml:space="preserve">The log write is treated as best-effort and independent of the store write's outcome</w:t>
            </w:r>
            <w:r w:rsidDel="00000000" w:rsidR="00000000" w:rsidRPr="00000000">
              <w:rPr>
                <w:rtl w:val="0"/>
              </w:rPr>
            </w:r>
          </w:p>
        </w:tc>
      </w:tr>
    </w:tbl>
    <w:p w:rsidR="00000000" w:rsidDel="00000000" w:rsidP="00000000" w:rsidRDefault="00000000" w:rsidRPr="00000000" w14:paraId="0000006E">
      <w:pPr>
        <w:pStyle w:val="Heading1"/>
        <w:spacing w:after="150" w:before="300" w:lineRule="auto"/>
        <w:rPr>
          <w:color w:val="000000"/>
        </w:rPr>
      </w:pPr>
      <w:r w:rsidDel="00000000" w:rsidR="00000000" w:rsidRPr="00000000">
        <w:rPr>
          <w:color w:val="000000"/>
          <w:rtl w:val="0"/>
        </w:rPr>
        <w:t xml:space="preserve">5. Threat and credential checklist</w:t>
      </w:r>
    </w:p>
    <w:p w:rsidR="00000000" w:rsidDel="00000000" w:rsidP="00000000" w:rsidRDefault="00000000" w:rsidRPr="00000000" w14:paraId="0000006F">
      <w:pPr>
        <w:spacing w:after="160" w:lineRule="auto"/>
        <w:rPr/>
      </w:pPr>
      <w:r w:rsidDel="00000000" w:rsidR="00000000" w:rsidRPr="00000000">
        <w:rPr>
          <w:b w:val="1"/>
          <w:bCs w:val="1"/>
          <w:sz w:val="22"/>
          <w:szCs w:val="22"/>
          <w:rtl w:val="0"/>
        </w:rPr>
        <w:t xml:space="preserve">Identities. </w:t>
      </w:r>
      <w:r w:rsidDel="00000000" w:rsidR="00000000" w:rsidRPr="00000000">
        <w:rPr>
          <w:sz w:val="22"/>
          <w:szCs w:val="22"/>
          <w:rtl w:val="0"/>
        </w:rPr>
        <w:t xml:space="preserve">The applicant is unauthenticated and reaches the POST /registrations route. The programme administrator and the auditor/sponsor both interact with the system through a manual lookup process rather than a system-enforced role; there is currently no technical access control distinguishing them from anyone else with local access to the data store. dlp-lambda-role is the one workload identity: its trust policy permits only the Lambda service to assume it, and its permission policy is scoped to three named DynamoDB actions on one named table and two named log actions on one named log group.</w:t>
      </w:r>
      <w:r w:rsidDel="00000000" w:rsidR="00000000" w:rsidRPr="00000000">
        <w:rPr>
          <w:rtl w:val="0"/>
        </w:rPr>
      </w:r>
    </w:p>
    <w:p w:rsidR="00000000" w:rsidDel="00000000" w:rsidP="00000000" w:rsidRDefault="00000000" w:rsidRPr="00000000" w14:paraId="00000070">
      <w:pPr>
        <w:spacing w:after="160" w:lineRule="auto"/>
        <w:rPr/>
      </w:pPr>
      <w:r w:rsidDel="00000000" w:rsidR="00000000" w:rsidRPr="00000000">
        <w:rPr>
          <w:b w:val="1"/>
          <w:bCs w:val="1"/>
          <w:sz w:val="22"/>
          <w:szCs w:val="22"/>
          <w:rtl w:val="0"/>
        </w:rPr>
        <w:t xml:space="preserve">Least privilege. </w:t>
      </w:r>
      <w:r w:rsidDel="00000000" w:rsidR="00000000" w:rsidRPr="00000000">
        <w:rPr>
          <w:sz w:val="22"/>
          <w:szCs w:val="22"/>
          <w:rtl w:val="0"/>
        </w:rPr>
        <w:t xml:space="preserve">The permission policy contains no wildcard actions and no wildcard resources. An unused dynamodb:Query permission, initially granted alongside the three actions the system actually uses, was identified during this review and removed — every access pattern in the data model is a direct lookup by a known key, never a range query, so Query expanded what would be reachable if the function's credentials were ever compromised without serving any function requirement. The corrected policy was verified directly against the running LocalStack instance. This has been verified by inspection and by confirming the corrected policy document matches what LocalStack reports; it has not yet been verified by attempting an out-of-scope operation and observing a denial, which the team intends to do before Milestone 4.</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b w:val="1"/>
          <w:bCs w:val="1"/>
          <w:sz w:val="22"/>
          <w:szCs w:val="22"/>
          <w:rtl w:val="0"/>
        </w:rPr>
        <w:t xml:space="preserve">Secrets. </w:t>
      </w:r>
      <w:r w:rsidDel="00000000" w:rsidR="00000000" w:rsidRPr="00000000">
        <w:rPr>
          <w:sz w:val="22"/>
          <w:szCs w:val="22"/>
          <w:rtl w:val="0"/>
        </w:rPr>
        <w:t xml:space="preserve">No real secret exists anywhere in the system. The environment file is excluded from version control, and the example configuration file contains only placeholders and the fake credential values LocalStack requires. During Milestone 1 development, a personal access token was inadvertently exposed twice — once in a shared screenshot, once by being entered into the wrong terminal prompt. Both incidents were identified and the affected token was revoked and regenerated before further use. The team has since adopted the rule that any screenshot or shared terminal output showing a credential prompt mid-entry is treated as compromised by default, with immediate revocation, regardless of whether exposure is confirmed.</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b w:val="1"/>
          <w:bCs w:val="1"/>
          <w:sz w:val="22"/>
          <w:szCs w:val="22"/>
          <w:rtl w:val="0"/>
        </w:rPr>
        <w:t xml:space="preserve">Input validation. </w:t>
      </w:r>
      <w:r w:rsidDel="00000000" w:rsidR="00000000" w:rsidRPr="00000000">
        <w:rPr>
          <w:sz w:val="22"/>
          <w:szCs w:val="22"/>
          <w:rtl w:val="0"/>
        </w:rPr>
        <w:t xml:space="preserve">Type, length, range and checksum validation are implemented for national ID and APS. Mobile number and residence validation are specified but not yet coded, consistent with the gap noted in Section 3.</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b w:val="1"/>
          <w:bCs w:val="1"/>
          <w:sz w:val="22"/>
          <w:szCs w:val="22"/>
          <w:rtl w:val="0"/>
        </w:rPr>
        <w:t xml:space="preserve">Logging discipline. </w:t>
      </w:r>
      <w:r w:rsidDel="00000000" w:rsidR="00000000" w:rsidRPr="00000000">
        <w:rPr>
          <w:sz w:val="22"/>
          <w:szCs w:val="22"/>
          <w:rtl w:val="0"/>
        </w:rPr>
        <w:t xml:space="preserve">Log entries carry only the first six characters of the ID hash, never the raw national ID or the full hash, and carry no other personal field.</w:t>
      </w: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b w:val="1"/>
          <w:bCs w:val="1"/>
          <w:sz w:val="22"/>
          <w:szCs w:val="22"/>
          <w:rtl w:val="0"/>
        </w:rPr>
        <w:t xml:space="preserve">Read, write, and delete access. </w:t>
      </w:r>
      <w:r w:rsidDel="00000000" w:rsidR="00000000" w:rsidRPr="00000000">
        <w:rPr>
          <w:sz w:val="22"/>
          <w:szCs w:val="22"/>
          <w:rtl w:val="0"/>
        </w:rPr>
        <w:t xml:space="preserve">Write access is restricted to dlp-lambda-role. Read access for the administrator and auditor is currently a manual lookup rather than a system-enforced path with its own credential, a limitation of the current local-emulator setup that a production deployment would need to close with a separate, read-only role. Deletion responsibility is assigned to the programme administrator at the end of the programme cycle but is not yet technically restricted to any particular identity.</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b w:val="1"/>
          <w:bCs w:val="1"/>
          <w:sz w:val="22"/>
          <w:szCs w:val="22"/>
          <w:rtl w:val="0"/>
        </w:rPr>
        <w:t xml:space="preserve">Credential rotation. </w:t>
      </w:r>
      <w:r w:rsidDel="00000000" w:rsidR="00000000" w:rsidRPr="00000000">
        <w:rPr>
          <w:sz w:val="22"/>
          <w:szCs w:val="22"/>
          <w:rtl w:val="0"/>
        </w:rPr>
        <w:t xml:space="preserve">No real cloud credential currently exists to rotate. If the team later registers individual accounts with the emulator provider, rotation applies to that individual member's credential rather than to any shared secret, since the design deliberately avoids a single shared cloud credential.</w:t>
      </w: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b w:val="1"/>
          <w:bCs w:val="1"/>
          <w:sz w:val="22"/>
          <w:szCs w:val="22"/>
          <w:rtl w:val="0"/>
        </w:rPr>
        <w:t xml:space="preserve">Synthetic data and retention. </w:t>
      </w:r>
      <w:r w:rsidDel="00000000" w:rsidR="00000000" w:rsidRPr="00000000">
        <w:rPr>
          <w:sz w:val="22"/>
          <w:szCs w:val="22"/>
          <w:rtl w:val="0"/>
        </w:rPr>
        <w:t xml:space="preserve">Only synthetic test identity numbers are used. The raw national ID is never stored, only its hash. Both accepted and rejected records are retained until the end of the programme cycle, at which point deletion is the administrator's responsibility.</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b w:val="1"/>
          <w:bCs w:val="1"/>
          <w:sz w:val="22"/>
          <w:szCs w:val="22"/>
          <w:rtl w:val="0"/>
        </w:rPr>
        <w:t xml:space="preserve">Trust boundary. </w:t>
      </w:r>
      <w:r w:rsidDel="00000000" w:rsidR="00000000" w:rsidRPr="00000000">
        <w:rPr>
          <w:sz w:val="22"/>
          <w:szCs w:val="22"/>
          <w:rtl w:val="0"/>
        </w:rPr>
        <w:t xml:space="preserve">The boundary is the container running the emulated cloud services, bound to the local loopback address only and therefore unreachable from the network. The container is granted access to the host's Docker socket, which is necessary to start function containers locally; this is accepted for local development on personal machines and is recorded here as a boundary-relevant risk rather than left implicit.</w:t>
      </w:r>
      <w:r w:rsidDel="00000000" w:rsidR="00000000" w:rsidRPr="00000000">
        <w:rPr>
          <w:rtl w:val="0"/>
        </w:rPr>
      </w:r>
    </w:p>
    <w:p w:rsidR="00000000" w:rsidDel="00000000" w:rsidP="00000000" w:rsidRDefault="00000000" w:rsidRPr="00000000" w14:paraId="00000078">
      <w:pPr>
        <w:pStyle w:val="Heading1"/>
        <w:spacing w:after="150" w:before="300" w:lineRule="auto"/>
        <w:rPr>
          <w:color w:val="000000"/>
        </w:rPr>
      </w:pPr>
      <w:r w:rsidDel="00000000" w:rsidR="00000000" w:rsidRPr="00000000">
        <w:rPr>
          <w:color w:val="000000"/>
          <w:rtl w:val="0"/>
        </w:rPr>
        <w:t xml:space="preserve">6. Cost worksheet</w:t>
      </w:r>
    </w:p>
    <w:p w:rsidR="00000000" w:rsidDel="00000000" w:rsidP="00000000" w:rsidRDefault="00000000" w:rsidRPr="00000000" w14:paraId="00000079">
      <w:pPr>
        <w:spacing w:after="160" w:lineRule="auto"/>
        <w:rPr/>
      </w:pPr>
      <w:r w:rsidDel="00000000" w:rsidR="00000000" w:rsidRPr="00000000">
        <w:rPr>
          <w:sz w:val="22"/>
          <w:szCs w:val="22"/>
          <w:rtl w:val="0"/>
        </w:rPr>
        <w:t xml:space="preserve">Workload assumption: 50 SubmitRegistration invocations, the one real intake this programme runs: up to 10 accepted plus an estimated 40 rejected applications. This is the only volume we can state with confidence, since it comes directly from the fixed 10-seat capacity in Milestone 1 rather than a guess about test or demo traffic. We cost every invocation as the full validation-and-write path, which overstates cost for applications rejected before reaching the store; this is a deliberately conservative ceiling, not a prediction. Rates are current on-demand US East list prices, verified 20 September 2026.</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2600"/>
        <w:gridCol w:w="1800"/>
        <w:tblGridChange w:id="0">
          <w:tblGrid>
            <w:gridCol w:w="2600"/>
            <w:gridCol w:w="2000"/>
            <w:gridCol w:w="2600"/>
            <w:gridCol w:w="1800"/>
          </w:tblGrid>
        </w:tblGridChange>
      </w:tblGrid>
      <w:tr>
        <w:trPr>
          <w:cantSplit w:val="0"/>
          <w:tblHeader w:val="1"/>
        </w:trPr>
        <w:tc>
          <w:tcPr>
            <w:shd w:fill="ffffff"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b w:val="1"/>
                <w:bCs w:val="1"/>
                <w:sz w:val="20"/>
                <w:szCs w:val="20"/>
                <w:rtl w:val="0"/>
              </w:rPr>
              <w:t xml:space="preserve">Resource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b w:val="1"/>
                <w:bCs w:val="1"/>
                <w:sz w:val="20"/>
                <w:szCs w:val="20"/>
                <w:rtl w:val="0"/>
              </w:rPr>
              <w:t xml:space="preserve">Assumption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b w:val="1"/>
                <w:bCs w:val="1"/>
                <w:sz w:val="20"/>
                <w:szCs w:val="20"/>
                <w:rtl w:val="0"/>
              </w:rPr>
              <w:t xml:space="preserve">Rate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sz w:val="20"/>
                <w:szCs w:val="20"/>
                <w:rtl w:val="0"/>
              </w:rPr>
              <w:t xml:space="preserve">Estimated cost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20"/>
                <w:szCs w:val="20"/>
                <w:rtl w:val="0"/>
              </w:rPr>
              <w:t xml:space="preserve">API Gateway (HTTP API)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20"/>
                <w:szCs w:val="20"/>
                <w:rtl w:val="0"/>
              </w:rPr>
              <w:t xml:space="preserve">50 requests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20"/>
                <w:szCs w:val="20"/>
                <w:rtl w:val="0"/>
              </w:rPr>
              <w:t xml:space="preserve">$1.00 per million requests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sz w:val="20"/>
                <w:szCs w:val="20"/>
                <w:rtl w:val="0"/>
              </w:rPr>
              <w:t xml:space="preserve">$0.00005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20"/>
                <w:szCs w:val="20"/>
                <w:rtl w:val="0"/>
              </w:rPr>
              <w:t xml:space="preserve">Lambda requests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20"/>
                <w:szCs w:val="20"/>
                <w:rtl w:val="0"/>
              </w:rPr>
              <w:t xml:space="preserve">50 invocations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20"/>
                <w:szCs w:val="20"/>
                <w:rtl w:val="0"/>
              </w:rPr>
              <w:t xml:space="preserve">$0.20 per million requests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sz w:val="20"/>
                <w:szCs w:val="20"/>
                <w:rtl w:val="0"/>
              </w:rPr>
              <w:t xml:space="preserve">within free tier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sz w:val="20"/>
                <w:szCs w:val="20"/>
                <w:rtl w:val="0"/>
              </w:rPr>
              <w:t xml:space="preserve">Lambda compute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sz w:val="20"/>
                <w:szCs w:val="20"/>
                <w:rtl w:val="0"/>
              </w:rPr>
              <w:t xml:space="preserve">~0.96 GB-seconds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sz w:val="20"/>
                <w:szCs w:val="20"/>
                <w:rtl w:val="0"/>
              </w:rPr>
              <w:t xml:space="preserve">$0.0000166667 per GB-second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sz w:val="20"/>
                <w:szCs w:val="20"/>
                <w:rtl w:val="0"/>
              </w:rPr>
              <w:t xml:space="preserve">within free tier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sz w:val="20"/>
                <w:szCs w:val="20"/>
                <w:rtl w:val="0"/>
              </w:rPr>
              <w:t xml:space="preserve">DynamoDB writes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sz w:val="20"/>
                <w:szCs w:val="20"/>
                <w:rtl w:val="0"/>
              </w:rPr>
              <w:t xml:space="preserve">~100 write units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sz w:val="20"/>
                <w:szCs w:val="20"/>
                <w:rtl w:val="0"/>
              </w:rPr>
              <w:t xml:space="preserve">$0.625 per million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sz w:val="20"/>
                <w:szCs w:val="20"/>
                <w:rtl w:val="0"/>
              </w:rPr>
              <w:t xml:space="preserve">$0.0000625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sz w:val="20"/>
                <w:szCs w:val="20"/>
                <w:rtl w:val="0"/>
              </w:rPr>
              <w:t xml:space="preserve">DynamoDB reads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sz w:val="20"/>
                <w:szCs w:val="20"/>
                <w:rtl w:val="0"/>
              </w:rPr>
              <w:t xml:space="preserve">~50 read units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sz w:val="20"/>
                <w:szCs w:val="20"/>
                <w:rtl w:val="0"/>
              </w:rPr>
              <w:t xml:space="preserve">$0.125 per million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sz w:val="20"/>
                <w:szCs w:val="20"/>
                <w:rtl w:val="0"/>
              </w:rPr>
              <w:t xml:space="preserve">$0.00000625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sz w:val="20"/>
                <w:szCs w:val="20"/>
                <w:rtl w:val="0"/>
              </w:rPr>
              <w:t xml:space="preserve">DynamoDB storage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sz w:val="20"/>
                <w:szCs w:val="20"/>
                <w:rtl w:val="0"/>
              </w:rPr>
              <w:t xml:space="preserve">~25 KB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sz w:val="20"/>
                <w:szCs w:val="20"/>
                <w:rtl w:val="0"/>
              </w:rPr>
              <w:t xml:space="preserve">$0.25 per GB-month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sz w:val="20"/>
                <w:szCs w:val="20"/>
                <w:rtl w:val="0"/>
              </w:rPr>
              <w:t xml:space="preserve">within free tier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sz w:val="20"/>
                <w:szCs w:val="20"/>
                <w:rtl w:val="0"/>
              </w:rPr>
              <w:t xml:space="preserve">CloudWatch Logs ingestion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sz w:val="20"/>
                <w:szCs w:val="20"/>
                <w:rtl w:val="0"/>
              </w:rPr>
              <w:t xml:space="preserve">~0.00002 GB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sz w:val="20"/>
                <w:szCs w:val="20"/>
                <w:rtl w:val="0"/>
              </w:rPr>
              <w:t xml:space="preserve">$0.50 per GB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sz w:val="20"/>
                <w:szCs w:val="20"/>
                <w:rtl w:val="0"/>
              </w:rPr>
              <w:t xml:space="preserve">$0.00001</w:t>
            </w:r>
            <w:r w:rsidDel="00000000" w:rsidR="00000000" w:rsidRPr="00000000">
              <w:rPr>
                <w:rtl w:val="0"/>
              </w:rPr>
            </w:r>
          </w:p>
        </w:tc>
      </w:tr>
    </w:tbl>
    <w:p w:rsidR="00000000" w:rsidDel="00000000" w:rsidP="00000000" w:rsidRDefault="00000000" w:rsidRPr="00000000" w14:paraId="0000009A">
      <w:pPr>
        <w:spacing w:after="160" w:lineRule="auto"/>
        <w:rPr/>
      </w:pPr>
      <w:r w:rsidDel="00000000" w:rsidR="00000000" w:rsidRPr="00000000">
        <w:rPr>
          <w:b w:val="1"/>
          <w:bCs w:val="1"/>
          <w:sz w:val="22"/>
          <w:szCs w:val="22"/>
          <w:rtl w:val="0"/>
        </w:rPr>
        <w:t xml:space="preserve">Total, mapped to public-cloud rates: </w:t>
      </w:r>
      <w:r w:rsidDel="00000000" w:rsidR="00000000" w:rsidRPr="00000000">
        <w:rPr>
          <w:rFonts w:ascii="Gungsuh" w:cs="Gungsuh" w:eastAsia="Gungsuh" w:hAnsi="Gungsuh"/>
          <w:sz w:val="22"/>
          <w:szCs w:val="22"/>
          <w:rtl w:val="0"/>
        </w:rPr>
        <w:t xml:space="preserve">≈ $0.00013/month</w:t>
      </w:r>
      <w:r w:rsidDel="00000000" w:rsidR="00000000" w:rsidRPr="00000000">
        <w:rPr>
          <w:rtl w:val="0"/>
        </w:rPr>
      </w:r>
    </w:p>
    <w:p w:rsidR="00000000" w:rsidDel="00000000" w:rsidP="00000000" w:rsidRDefault="00000000" w:rsidRPr="00000000" w14:paraId="0000009B">
      <w:pPr>
        <w:spacing w:after="160" w:lineRule="auto"/>
        <w:rPr/>
      </w:pPr>
      <w:r w:rsidDel="00000000" w:rsidR="00000000" w:rsidRPr="00000000">
        <w:rPr>
          <w:b w:val="1"/>
          <w:bCs w:val="1"/>
          <w:sz w:val="22"/>
          <w:szCs w:val="22"/>
          <w:rtl w:val="0"/>
        </w:rPr>
        <w:t xml:space="preserve">Actual charge on the local environment: </w:t>
      </w:r>
      <w:r w:rsidDel="00000000" w:rsidR="00000000" w:rsidRPr="00000000">
        <w:rPr>
          <w:sz w:val="22"/>
          <w:szCs w:val="22"/>
          <w:rtl w:val="0"/>
        </w:rPr>
        <w:t xml:space="preserve">$0.00</w:t>
      </w:r>
      <w:r w:rsidDel="00000000" w:rsidR="00000000" w:rsidRPr="00000000">
        <w:rPr>
          <w:rtl w:val="0"/>
        </w:rPr>
      </w:r>
    </w:p>
    <w:p w:rsidR="00000000" w:rsidDel="00000000" w:rsidP="00000000" w:rsidRDefault="00000000" w:rsidRPr="00000000" w14:paraId="0000009C">
      <w:pPr>
        <w:pStyle w:val="Heading2"/>
        <w:spacing w:after="120" w:before="240" w:lineRule="auto"/>
        <w:rPr>
          <w:color w:val="000000"/>
        </w:rPr>
      </w:pPr>
      <w:r w:rsidDel="00000000" w:rsidR="00000000" w:rsidRPr="00000000">
        <w:rPr>
          <w:color w:val="000000"/>
          <w:rtl w:val="0"/>
        </w:rPr>
        <w:t xml:space="preserve">Projected scale</w:t>
      </w:r>
    </w:p>
    <w:p w:rsidR="00000000" w:rsidDel="00000000" w:rsidP="00000000" w:rsidRDefault="00000000" w:rsidRPr="00000000" w14:paraId="0000009D">
      <w:pPr>
        <w:spacing w:after="160" w:lineRule="auto"/>
        <w:rPr/>
      </w:pPr>
      <w:r w:rsidDel="00000000" w:rsidR="00000000" w:rsidRPr="00000000">
        <w:rPr>
          <w:sz w:val="22"/>
          <w:szCs w:val="22"/>
          <w:rtl w:val="0"/>
        </w:rPr>
        <w:t xml:space="preserve">The above reflects this programme's one real intake of 10 accepted seats. To understand how the architecture behaves under greater load — for instance, if UNIZULU ran this system across several community programmes concurrently — the same model was applied at 500 registrations per month (roughly 1,000 DynamoDB writes, 500 reads). At this volume every service remains comfortably within its always-on AWS free tier, and the estimated cost remains $0.00/month.</w:t>
      </w:r>
      <w:r w:rsidDel="00000000" w:rsidR="00000000" w:rsidRPr="00000000">
        <w:rPr>
          <w:rtl w:val="0"/>
        </w:rPr>
      </w:r>
    </w:p>
    <w:p w:rsidR="00000000" w:rsidDel="00000000" w:rsidP="00000000" w:rsidRDefault="00000000" w:rsidRPr="00000000" w14:paraId="0000009E">
      <w:pPr>
        <w:spacing w:after="160" w:lineRule="auto"/>
        <w:rPr/>
      </w:pPr>
      <w:r w:rsidDel="00000000" w:rsidR="00000000" w:rsidRPr="00000000">
        <w:rPr>
          <w:sz w:val="22"/>
          <w:szCs w:val="22"/>
          <w:rtl w:val="0"/>
        </w:rPr>
        <w:t xml:space="preserve">The architecture's genuine cost ceiling is set by DynamoDB's write price, the most expensive per-unit charge of the three services used. At $0.625 per million write request units, reaching even $1/month in DynamoDB write charges alone would require approximately 1.6 million writes — roughly 800,000 registrations in a single month at 2 writes each. This is far beyond any realistic volume for a single community skills programme, and represents the practical boundary of this architecture's zero-cost operating range.</w:t>
      </w:r>
      <w:r w:rsidDel="00000000" w:rsidR="00000000" w:rsidRPr="00000000">
        <w:rPr>
          <w:rtl w:val="0"/>
        </w:rPr>
      </w:r>
    </w:p>
    <w:p w:rsidR="00000000" w:rsidDel="00000000" w:rsidP="00000000" w:rsidRDefault="00000000" w:rsidRPr="00000000" w14:paraId="0000009F">
      <w:pPr>
        <w:pStyle w:val="Heading1"/>
        <w:spacing w:after="150" w:before="300" w:lineRule="auto"/>
        <w:rPr>
          <w:color w:val="000000"/>
        </w:rPr>
      </w:pPr>
      <w:r w:rsidDel="00000000" w:rsidR="00000000" w:rsidRPr="00000000">
        <w:rPr>
          <w:color w:val="000000"/>
          <w:rtl w:val="0"/>
        </w:rPr>
        <w:t xml:space="preserve">7. Milestone 3 integration plan and role allocation</w:t>
      </w:r>
    </w:p>
    <w:p w:rsidR="00000000" w:rsidDel="00000000" w:rsidP="00000000" w:rsidRDefault="00000000" w:rsidRPr="00000000" w14:paraId="000000A0">
      <w:pPr>
        <w:spacing w:after="160" w:lineRule="auto"/>
        <w:rPr/>
      </w:pPr>
      <w:r w:rsidDel="00000000" w:rsidR="00000000" w:rsidRPr="00000000">
        <w:rPr>
          <w:sz w:val="22"/>
          <w:szCs w:val="22"/>
          <w:rtl w:val="0"/>
        </w:rPr>
        <w:t xml:space="preserve">For Milestone 3: Bandile will write the Lambda handler that combines all four validators, performs the conditional writes, and shapes every response; this is the critical path, since nothing else can be integration-tested until it exists. Unam will write the mobile and residence validators and implement the structured CloudWatch logging. Sanele will extend the setup script to create the API Gateway route and will carry out the least-privilege verification. Asename will own end-to-end integration sign-off once the handler exists, confirming the deployed system matches the architecture described in Section 1. Siphokazi will write the required normal-case and invalid-case tests, execute the selected failure test from Section 4, and re-verify the cost worksheet against actual request counts.</w:t>
      </w:r>
      <w:r w:rsidDel="00000000" w:rsidR="00000000" w:rsidRPr="00000000">
        <w:rPr>
          <w:rtl w:val="0"/>
        </w:rPr>
      </w:r>
    </w:p>
    <w:p w:rsidR="00000000" w:rsidDel="00000000" w:rsidP="00000000" w:rsidRDefault="00000000" w:rsidRPr="00000000" w14:paraId="000000A1">
      <w:pPr>
        <w:spacing w:after="160" w:lineRule="auto"/>
        <w:rPr/>
      </w:pPr>
      <w:r w:rsidDel="00000000" w:rsidR="00000000" w:rsidRPr="00000000">
        <w:rPr>
          <w:sz w:val="22"/>
          <w:szCs w:val="22"/>
          <w:rtl w:val="0"/>
        </w:rPr>
        <w:t xml:space="preserve">The mobile and residence validators and the API Gateway route have no dependency on the handler and can be built in parallel. The milestone will be complete when one registration event travels end-to-end, client through API Gateway, Lambda, DynamoDB, and CloudWatch Logs, back to the client, with the normal-case, invalid-case, and store-outage tests all reproducible from a clean environment build.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