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00" w:lineRule="auto"/>
        <w:jc w:val="center"/>
        <w:rPr/>
      </w:pPr>
      <w:r w:rsidDel="00000000" w:rsidR="00000000" w:rsidRPr="00000000">
        <w:rPr>
          <w:b w:val="1"/>
          <w:bCs w:val="1"/>
          <w:color w:val="1f4e3c"/>
          <w:sz w:val="24"/>
          <w:szCs w:val="24"/>
          <w:rtl w:val="0"/>
        </w:rPr>
        <w:t xml:space="preserve">UNIVERSITÉ JOSEPH KI-ZERBO</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sz w:val="22"/>
          <w:szCs w:val="22"/>
          <w:rtl w:val="0"/>
        </w:rPr>
        <w:t xml:space="preserve">Institut de Formation Ouverte et à Distance (IFOAD)</w:t>
      </w:r>
      <w:r w:rsidDel="00000000" w:rsidR="00000000" w:rsidRPr="00000000">
        <w:rPr>
          <w:rtl w:val="0"/>
        </w:rPr>
      </w:r>
    </w:p>
    <w:p w:rsidR="00000000" w:rsidDel="00000000" w:rsidP="00000000" w:rsidRDefault="00000000" w:rsidRPr="00000000" w14:paraId="00000003">
      <w:pPr>
        <w:spacing w:after="800" w:lineRule="auto"/>
        <w:jc w:val="center"/>
        <w:rPr/>
      </w:pPr>
      <w:r w:rsidDel="00000000" w:rsidR="00000000" w:rsidRPr="00000000">
        <w:rPr>
          <w:sz w:val="22"/>
          <w:szCs w:val="22"/>
          <w:rtl w:val="0"/>
        </w:rPr>
        <w:t xml:space="preserve">Master 1 — Data Science</w:t>
      </w:r>
      <w:r w:rsidDel="00000000" w:rsidR="00000000" w:rsidRPr="00000000">
        <w:rPr>
          <w:rtl w:val="0"/>
        </w:rPr>
      </w:r>
    </w:p>
    <w:p w:rsidR="00000000" w:rsidDel="00000000" w:rsidP="00000000" w:rsidRDefault="00000000" w:rsidRPr="00000000" w14:paraId="00000004">
      <w:pPr>
        <w:spacing w:after="200" w:before="1200" w:lineRule="auto"/>
        <w:jc w:val="center"/>
        <w:rPr/>
      </w:pPr>
      <w:r w:rsidDel="00000000" w:rsidR="00000000" w:rsidRPr="00000000">
        <w:rPr>
          <w:b w:val="1"/>
          <w:bCs w:val="1"/>
          <w:color w:val="1f4e3c"/>
          <w:sz w:val="40"/>
          <w:szCs w:val="40"/>
          <w:rtl w:val="0"/>
        </w:rPr>
        <w:t xml:space="preserve">RAPPORT TECHNIQUE</w:t>
      </w:r>
      <w:r w:rsidDel="00000000" w:rsidR="00000000" w:rsidRPr="00000000">
        <w:rPr>
          <w:rtl w:val="0"/>
        </w:rPr>
      </w:r>
    </w:p>
    <w:p w:rsidR="00000000" w:rsidDel="00000000" w:rsidP="00000000" w:rsidRDefault="00000000" w:rsidRPr="00000000" w14:paraId="00000005">
      <w:pPr>
        <w:spacing w:after="800" w:lineRule="auto"/>
        <w:jc w:val="center"/>
        <w:rPr/>
      </w:pPr>
      <w:r w:rsidDel="00000000" w:rsidR="00000000" w:rsidRPr="00000000">
        <w:rPr>
          <w:b w:val="1"/>
          <w:bCs w:val="1"/>
          <w:sz w:val="32"/>
          <w:szCs w:val="32"/>
          <w:rtl w:val="0"/>
        </w:rPr>
        <w:t xml:space="preserve">Assistant RAG IFOAD-UJKZ</w:t>
      </w:r>
      <w:r w:rsidDel="00000000" w:rsidR="00000000" w:rsidRPr="00000000">
        <w:rPr>
          <w:rtl w:val="0"/>
        </w:rPr>
      </w:r>
    </w:p>
    <w:p w:rsidR="00000000" w:rsidDel="00000000" w:rsidP="00000000" w:rsidRDefault="00000000" w:rsidRPr="00000000" w14:paraId="00000006">
      <w:pPr>
        <w:spacing w:after="1200" w:lineRule="auto"/>
        <w:jc w:val="center"/>
        <w:rPr/>
      </w:pPr>
      <w:r w:rsidDel="00000000" w:rsidR="00000000" w:rsidRPr="00000000">
        <w:rPr>
          <w:i w:val="1"/>
          <w:iCs w:val="1"/>
          <w:sz w:val="22"/>
          <w:szCs w:val="22"/>
          <w:rtl w:val="0"/>
        </w:rPr>
        <w:t xml:space="preserve">Conception d'un Agent IA Assistant &amp; Système RAG Intelligent</w:t>
      </w:r>
      <w:r w:rsidDel="00000000" w:rsidR="00000000" w:rsidRPr="00000000">
        <w:rPr>
          <w:rtl w:val="0"/>
        </w:rPr>
      </w:r>
    </w:p>
    <w:tbl>
      <w:tblPr>
        <w:tblStyle w:val="Table1"/>
        <w:tblW w:w="7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500"/>
        <w:tblGridChange w:id="0">
          <w:tblGrid>
            <w:gridCol w:w="2500"/>
            <w:gridCol w:w="4500"/>
          </w:tblGrid>
        </w:tblGridChange>
      </w:tblGrid>
      <w:tr>
        <w:trPr>
          <w:cantSplit w:val="0"/>
          <w:tblHeader w:val="0"/>
        </w:trPr>
        <w:tc>
          <w:tcPr>
            <w:shd w:fill="1f4e3c" w:val="clear"/>
            <w:tcMar>
              <w:top w:w="100.0" w:type="dxa"/>
              <w:left w:w="120.0" w:type="dxa"/>
              <w:bottom w:w="100.0" w:type="dxa"/>
              <w:right w:w="120.0" w:type="dxa"/>
            </w:tcMar>
          </w:tcPr>
          <w:p w:rsidR="00000000" w:rsidDel="00000000" w:rsidP="00000000" w:rsidRDefault="00000000" w:rsidRPr="00000000" w14:paraId="00000007">
            <w:pPr>
              <w:rPr/>
            </w:pPr>
            <w:r w:rsidDel="00000000" w:rsidR="00000000" w:rsidRPr="00000000">
              <w:rPr>
                <w:b w:val="1"/>
                <w:bCs w:val="1"/>
                <w:color w:val="ffffff"/>
                <w:sz w:val="20"/>
                <w:szCs w:val="20"/>
                <w:rtl w:val="0"/>
              </w:rPr>
              <w:t xml:space="preserve">Projet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08">
            <w:pPr>
              <w:rPr/>
            </w:pPr>
            <w:r w:rsidDel="00000000" w:rsidR="00000000" w:rsidRPr="00000000">
              <w:rPr>
                <w:b w:val="0"/>
                <w:bCs w:val="0"/>
                <w:color w:val="000000"/>
                <w:sz w:val="20"/>
                <w:szCs w:val="20"/>
                <w:rtl w:val="0"/>
              </w:rPr>
              <w:t xml:space="preserve">Projet Data Science — Édition 2026</w:t>
            </w:r>
            <w:r w:rsidDel="00000000" w:rsidR="00000000" w:rsidRPr="00000000">
              <w:rPr>
                <w:rtl w:val="0"/>
              </w:rPr>
            </w:r>
          </w:p>
        </w:tc>
      </w:tr>
      <w:tr>
        <w:trPr>
          <w:cantSplit w:val="0"/>
          <w:tblHeader w:val="0"/>
        </w:trPr>
        <w:tc>
          <w:tcPr>
            <w:shd w:fill="1f4e3c" w:val="clear"/>
            <w:tcMar>
              <w:top w:w="100.0" w:type="dxa"/>
              <w:left w:w="120.0" w:type="dxa"/>
              <w:bottom w:w="100.0" w:type="dxa"/>
              <w:right w:w="120.0" w:type="dxa"/>
            </w:tcMar>
          </w:tcPr>
          <w:p w:rsidR="00000000" w:rsidDel="00000000" w:rsidP="00000000" w:rsidRDefault="00000000" w:rsidRPr="00000000" w14:paraId="00000009">
            <w:pPr>
              <w:rPr/>
            </w:pPr>
            <w:r w:rsidDel="00000000" w:rsidR="00000000" w:rsidRPr="00000000">
              <w:rPr>
                <w:b w:val="1"/>
                <w:bCs w:val="1"/>
                <w:color w:val="ffffff"/>
                <w:sz w:val="20"/>
                <w:szCs w:val="20"/>
                <w:rtl w:val="0"/>
              </w:rPr>
              <w:t xml:space="preserve">Option choisie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0A">
            <w:pPr>
              <w:rPr/>
            </w:pPr>
            <w:r w:rsidDel="00000000" w:rsidR="00000000" w:rsidRPr="00000000">
              <w:rPr>
                <w:b w:val="0"/>
                <w:bCs w:val="0"/>
                <w:color w:val="000000"/>
                <w:sz w:val="20"/>
                <w:szCs w:val="20"/>
                <w:rtl w:val="0"/>
              </w:rPr>
              <w:t xml:space="preserve">Option 1 — Assistant RAG de l'IFOAD-UJKZ (obligatoire)</w:t>
            </w:r>
            <w:r w:rsidDel="00000000" w:rsidR="00000000" w:rsidRPr="00000000">
              <w:rPr>
                <w:rtl w:val="0"/>
              </w:rPr>
            </w:r>
          </w:p>
        </w:tc>
      </w:tr>
      <w:tr>
        <w:trPr>
          <w:cantSplit w:val="0"/>
          <w:tblHeader w:val="0"/>
        </w:trPr>
        <w:tc>
          <w:tcPr>
            <w:shd w:fill="1f4e3c" w:val="clear"/>
            <w:tcMar>
              <w:top w:w="100.0" w:type="dxa"/>
              <w:left w:w="120.0" w:type="dxa"/>
              <w:bottom w:w="100.0" w:type="dxa"/>
              <w:right w:w="120.0" w:type="dxa"/>
            </w:tcMar>
          </w:tcPr>
          <w:p w:rsidR="00000000" w:rsidDel="00000000" w:rsidP="00000000" w:rsidRDefault="00000000" w:rsidRPr="00000000" w14:paraId="0000000B">
            <w:pPr>
              <w:rPr/>
            </w:pPr>
            <w:r w:rsidDel="00000000" w:rsidR="00000000" w:rsidRPr="00000000">
              <w:rPr>
                <w:b w:val="1"/>
                <w:bCs w:val="1"/>
                <w:color w:val="ffffff"/>
                <w:sz w:val="20"/>
                <w:szCs w:val="20"/>
                <w:rtl w:val="0"/>
              </w:rPr>
              <w:t xml:space="preserve">Enseignant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0C">
            <w:pPr>
              <w:rPr/>
            </w:pPr>
            <w:r w:rsidDel="00000000" w:rsidR="00000000" w:rsidRPr="00000000">
              <w:rPr>
                <w:b w:val="0"/>
                <w:bCs w:val="0"/>
                <w:color w:val="000000"/>
                <w:sz w:val="20"/>
                <w:szCs w:val="20"/>
                <w:rtl w:val="0"/>
              </w:rPr>
              <w:t xml:space="preserve">Dr Delwende D. Arthur SAWADOGO</w:t>
            </w:r>
            <w:r w:rsidDel="00000000" w:rsidR="00000000" w:rsidRPr="00000000">
              <w:rPr>
                <w:rtl w:val="0"/>
              </w:rPr>
            </w:r>
          </w:p>
        </w:tc>
      </w:tr>
      <w:tr>
        <w:trPr>
          <w:cantSplit w:val="0"/>
          <w:tblHeader w:val="0"/>
        </w:trPr>
        <w:tc>
          <w:tcPr>
            <w:shd w:fill="1f4e3c" w:val="clear"/>
            <w:tcMar>
              <w:top w:w="100.0" w:type="dxa"/>
              <w:left w:w="120.0" w:type="dxa"/>
              <w:bottom w:w="100.0" w:type="dxa"/>
              <w:right w:w="120.0" w:type="dxa"/>
            </w:tcMar>
          </w:tcPr>
          <w:p w:rsidR="00000000" w:rsidDel="00000000" w:rsidP="00000000" w:rsidRDefault="00000000" w:rsidRPr="00000000" w14:paraId="0000000D">
            <w:pPr>
              <w:rPr/>
            </w:pPr>
            <w:r w:rsidDel="00000000" w:rsidR="00000000" w:rsidRPr="00000000">
              <w:rPr>
                <w:b w:val="1"/>
                <w:bCs w:val="1"/>
                <w:color w:val="ffffff"/>
                <w:sz w:val="20"/>
                <w:szCs w:val="20"/>
                <w:rtl w:val="0"/>
              </w:rPr>
              <w:t xml:space="preserve">Groupe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0E">
            <w:pPr>
              <w:rPr/>
            </w:pPr>
            <w:r w:rsidDel="00000000" w:rsidR="00000000" w:rsidRPr="00000000">
              <w:rPr>
                <w:b w:val="0"/>
                <w:bCs w:val="0"/>
                <w:color w:val="000000"/>
                <w:sz w:val="20"/>
                <w:szCs w:val="20"/>
                <w:rtl w:val="0"/>
              </w:rPr>
              <w:t xml:space="preserve">Groupe 2 — OUEDRAOGO Kiswendsida Marie Monique, SANFO Faïssal</w:t>
            </w:r>
            <w:r w:rsidDel="00000000" w:rsidR="00000000" w:rsidRPr="00000000">
              <w:rPr>
                <w:rtl w:val="0"/>
              </w:rPr>
            </w:r>
          </w:p>
        </w:tc>
      </w:tr>
      <w:tr>
        <w:trPr>
          <w:cantSplit w:val="0"/>
          <w:tblHeader w:val="0"/>
        </w:trPr>
        <w:tc>
          <w:tcPr>
            <w:shd w:fill="1f4e3c" w:val="clear"/>
            <w:tcMar>
              <w:top w:w="100.0" w:type="dxa"/>
              <w:left w:w="120.0" w:type="dxa"/>
              <w:bottom w:w="100.0" w:type="dxa"/>
              <w:right w:w="120.0" w:type="dxa"/>
            </w:tcMar>
          </w:tcPr>
          <w:p w:rsidR="00000000" w:rsidDel="00000000" w:rsidP="00000000" w:rsidRDefault="00000000" w:rsidRPr="00000000" w14:paraId="0000000F">
            <w:pPr>
              <w:rPr/>
            </w:pPr>
            <w:r w:rsidDel="00000000" w:rsidR="00000000" w:rsidRPr="00000000">
              <w:rPr>
                <w:b w:val="1"/>
                <w:bCs w:val="1"/>
                <w:color w:val="ffffff"/>
                <w:sz w:val="20"/>
                <w:szCs w:val="20"/>
                <w:rtl w:val="0"/>
              </w:rPr>
              <w:t xml:space="preserve">Dépôt GitHub</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0">
            <w:pPr>
              <w:rPr/>
            </w:pPr>
            <w:r w:rsidDel="00000000" w:rsidR="00000000" w:rsidRPr="00000000">
              <w:rPr>
                <w:b w:val="0"/>
                <w:bCs w:val="0"/>
                <w:color w:val="000000"/>
                <w:sz w:val="20"/>
                <w:szCs w:val="20"/>
                <w:rtl w:val="0"/>
              </w:rPr>
              <w:t xml:space="preserve">sanfofaissal/projet-rag-ifoad</w:t>
            </w:r>
            <w:r w:rsidDel="00000000" w:rsidR="00000000" w:rsidRPr="00000000">
              <w:rPr>
                <w:rtl w:val="0"/>
              </w:rPr>
            </w:r>
          </w:p>
        </w:tc>
      </w:tr>
      <w:tr>
        <w:trPr>
          <w:cantSplit w:val="0"/>
          <w:tblHeader w:val="0"/>
        </w:trPr>
        <w:tc>
          <w:tcPr>
            <w:shd w:fill="1f4e3c" w:val="clear"/>
            <w:tcMar>
              <w:top w:w="100.0" w:type="dxa"/>
              <w:left w:w="120.0" w:type="dxa"/>
              <w:bottom w:w="100.0" w:type="dxa"/>
              <w:right w:w="120.0" w:type="dxa"/>
            </w:tcMar>
          </w:tcPr>
          <w:p w:rsidR="00000000" w:rsidDel="00000000" w:rsidP="00000000" w:rsidRDefault="00000000" w:rsidRPr="00000000" w14:paraId="00000011">
            <w:pPr>
              <w:rPr/>
            </w:pPr>
            <w:r w:rsidDel="00000000" w:rsidR="00000000" w:rsidRPr="00000000">
              <w:rPr>
                <w:b w:val="1"/>
                <w:bCs w:val="1"/>
                <w:color w:val="ffffff"/>
                <w:sz w:val="20"/>
                <w:szCs w:val="20"/>
                <w:rtl w:val="0"/>
              </w:rPr>
              <w:t xml:space="preserve">Application déployée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2">
            <w:pPr>
              <w:rPr/>
            </w:pPr>
            <w:r w:rsidDel="00000000" w:rsidR="00000000" w:rsidRPr="00000000">
              <w:rPr>
                <w:b w:val="0"/>
                <w:bCs w:val="0"/>
                <w:color w:val="000000"/>
                <w:sz w:val="20"/>
                <w:szCs w:val="20"/>
                <w:rtl w:val="0"/>
              </w:rPr>
              <w:t xml:space="preserve">Streamlit Community Cloud</w:t>
            </w:r>
            <w:r w:rsidDel="00000000" w:rsidR="00000000" w:rsidRPr="00000000">
              <w:rPr>
                <w:rtl w:val="0"/>
              </w:rPr>
            </w:r>
          </w:p>
        </w:tc>
      </w:tr>
    </w:tbl>
    <w:p w:rsidR="00000000" w:rsidDel="00000000" w:rsidP="00000000" w:rsidRDefault="00000000" w:rsidRPr="00000000" w14:paraId="00000013">
      <w:pPr>
        <w:rPr/>
        <w:sectPr>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14">
      <w:pPr>
        <w:pStyle w:val="Heading1"/>
        <w:pBdr>
          <w:bottom w:color="1f4e3c" w:space="4" w:sz="6" w:val="single"/>
        </w:pBdr>
        <w:spacing w:after="200" w:before="400" w:lineRule="auto"/>
        <w:rPr/>
      </w:pPr>
      <w:r w:rsidDel="00000000" w:rsidR="00000000" w:rsidRPr="00000000">
        <w:rPr>
          <w:b w:val="1"/>
          <w:bCs w:val="1"/>
          <w:color w:val="1f4e3c"/>
          <w:sz w:val="30"/>
          <w:szCs w:val="30"/>
          <w:rtl w:val="0"/>
        </w:rPr>
        <w:t xml:space="preserve">1. Introduction</w:t>
      </w:r>
      <w:r w:rsidDel="00000000" w:rsidR="00000000" w:rsidRPr="00000000">
        <w:rPr>
          <w:rtl w:val="0"/>
        </w:rPr>
      </w:r>
    </w:p>
    <w:p w:rsidR="00000000" w:rsidDel="00000000" w:rsidP="00000000" w:rsidRDefault="00000000" w:rsidRPr="00000000" w14:paraId="00000015">
      <w:pPr>
        <w:spacing w:after="160" w:line="276" w:lineRule="auto"/>
        <w:rPr/>
      </w:pPr>
      <w:r w:rsidDel="00000000" w:rsidR="00000000" w:rsidRPr="00000000">
        <w:rPr>
          <w:sz w:val="22"/>
          <w:szCs w:val="22"/>
          <w:rtl w:val="0"/>
        </w:rPr>
        <w:t xml:space="preserve">Ce rapport présente la conception, la mise en œuvre et l'évaluation d'un assistant conversationnel basé sur l'architecture RAG (Retrieval-Augmented Generation) pour l'Institut de Formation Ouverte et à Distance de l'Université Joseph Ki-Zerbo (IFOAD-UJKZ).</w:t>
      </w:r>
      <w:r w:rsidDel="00000000" w:rsidR="00000000" w:rsidRPr="00000000">
        <w:rPr>
          <w:rtl w:val="0"/>
        </w:rPr>
      </w:r>
    </w:p>
    <w:p w:rsidR="00000000" w:rsidDel="00000000" w:rsidP="00000000" w:rsidRDefault="00000000" w:rsidRPr="00000000" w14:paraId="00000016">
      <w:pPr>
        <w:spacing w:after="160" w:line="276" w:lineRule="auto"/>
        <w:rPr/>
      </w:pPr>
      <w:r w:rsidDel="00000000" w:rsidR="00000000" w:rsidRPr="00000000">
        <w:rPr>
          <w:sz w:val="22"/>
          <w:szCs w:val="22"/>
          <w:rtl w:val="0"/>
        </w:rPr>
        <w:t xml:space="preserve">L'objectif du projet est de permettre à un étudiant ou un candidat d'obtenir des réponses précises et fiables sur les formations proposées (Master en Sciences des Données, Licence professionnelle en Informatique Appliquée), les conditions de candidature, les frais d'inscription et de formation, ainsi que le calendrier académique — en s'appuyant exclusivement sur des documents officiels de l'institution plutôt que sur les connaissances générales d'un modèle de langage, afin de limiter les risques d'hallucination.</w:t>
      </w:r>
      <w:r w:rsidDel="00000000" w:rsidR="00000000" w:rsidRPr="00000000">
        <w:rPr>
          <w:rtl w:val="0"/>
        </w:rPr>
      </w:r>
    </w:p>
    <w:p w:rsidR="00000000" w:rsidDel="00000000" w:rsidP="00000000" w:rsidRDefault="00000000" w:rsidRPr="00000000" w14:paraId="00000017">
      <w:pPr>
        <w:pStyle w:val="Heading1"/>
        <w:pBdr>
          <w:bottom w:color="1f4e3c" w:space="4" w:sz="6" w:val="single"/>
        </w:pBdr>
        <w:spacing w:after="200" w:before="400" w:lineRule="auto"/>
        <w:rPr/>
      </w:pPr>
      <w:r w:rsidDel="00000000" w:rsidR="00000000" w:rsidRPr="00000000">
        <w:rPr>
          <w:b w:val="1"/>
          <w:bCs w:val="1"/>
          <w:color w:val="1f4e3c"/>
          <w:sz w:val="30"/>
          <w:szCs w:val="30"/>
          <w:rtl w:val="0"/>
        </w:rPr>
        <w:t xml:space="preserve">2. Architecture du système</w:t>
      </w:r>
      <w:r w:rsidDel="00000000" w:rsidR="00000000" w:rsidRPr="00000000">
        <w:rPr>
          <w:rtl w:val="0"/>
        </w:rPr>
      </w:r>
    </w:p>
    <w:p w:rsidR="00000000" w:rsidDel="00000000" w:rsidP="00000000" w:rsidRDefault="00000000" w:rsidRPr="00000000" w14:paraId="00000018">
      <w:pPr>
        <w:spacing w:after="160" w:line="276" w:lineRule="auto"/>
        <w:rPr/>
      </w:pPr>
      <w:r w:rsidDel="00000000" w:rsidR="00000000" w:rsidRPr="00000000">
        <w:rPr>
          <w:sz w:val="22"/>
          <w:szCs w:val="22"/>
          <w:rtl w:val="0"/>
        </w:rPr>
        <w:t xml:space="preserve">Le système repose sur une architecture RAG classique en deux phases : une phase hors-ligne d'ingestion et de vectorisation des documents, et une phase en ligne de traitement des requêtes utilisateur.</w:t>
      </w:r>
      <w:r w:rsidDel="00000000" w:rsidR="00000000" w:rsidRPr="00000000">
        <w:rPr>
          <w:rtl w:val="0"/>
        </w:rPr>
      </w:r>
    </w:p>
    <w:p w:rsidR="00000000" w:rsidDel="00000000" w:rsidP="00000000" w:rsidRDefault="00000000" w:rsidRPr="00000000" w14:paraId="00000019">
      <w:pPr>
        <w:pStyle w:val="Heading2"/>
        <w:spacing w:after="120" w:before="300" w:lineRule="auto"/>
        <w:rPr/>
      </w:pPr>
      <w:r w:rsidDel="00000000" w:rsidR="00000000" w:rsidRPr="00000000">
        <w:rPr>
          <w:b w:val="1"/>
          <w:bCs w:val="1"/>
          <w:color w:val="1f4e3c"/>
          <w:sz w:val="24"/>
          <w:szCs w:val="24"/>
          <w:rtl w:val="0"/>
        </w:rPr>
        <w:t xml:space="preserve">2.1 Schéma du flux de données</w:t>
      </w:r>
      <w:r w:rsidDel="00000000" w:rsidR="00000000" w:rsidRPr="00000000">
        <w:rPr>
          <w:rtl w:val="0"/>
        </w:rPr>
      </w:r>
    </w:p>
    <w:tbl>
      <w:tblPr>
        <w:tblStyle w:val="Table2"/>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1A">
            <w:pPr>
              <w:rPr/>
            </w:pPr>
            <w:r w:rsidDel="00000000" w:rsidR="00000000" w:rsidRPr="00000000">
              <w:rPr>
                <w:b w:val="0"/>
                <w:bCs w:val="0"/>
                <w:color w:val="000000"/>
                <w:sz w:val="20"/>
                <w:szCs w:val="20"/>
                <w:rtl w:val="0"/>
              </w:rPr>
              <w:t xml:space="preserve">Question de l'utilisateur (interface Streamlit)</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1B">
            <w:pPr>
              <w:rPr/>
            </w:pPr>
            <w:r w:rsidDel="00000000" w:rsidR="00000000" w:rsidRPr="00000000">
              <w:rPr>
                <w:b w:val="0"/>
                <w:bCs w:val="0"/>
                <w:color w:val="000000"/>
                <w:sz w:val="20"/>
                <w:szCs w:val="20"/>
                <w:rtl w:val="0"/>
              </w:rPr>
              <w:t xml:space="preserve">↓ Encodage de la question en vecteur (sentence-transformers)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1C">
            <w:pPr>
              <w:rPr/>
            </w:pPr>
            <w:r w:rsidDel="00000000" w:rsidR="00000000" w:rsidRPr="00000000">
              <w:rPr>
                <w:b w:val="0"/>
                <w:bCs w:val="0"/>
                <w:color w:val="000000"/>
                <w:sz w:val="20"/>
                <w:szCs w:val="20"/>
                <w:rtl w:val="0"/>
              </w:rPr>
              <w:t xml:space="preserve">↓ Recherche vectorielle dans ChromaDB (similarité cosinus, top-N)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1D">
            <w:pPr>
              <w:rPr/>
            </w:pPr>
            <w:r w:rsidDel="00000000" w:rsidR="00000000" w:rsidRPr="00000000">
              <w:rPr>
                <w:b w:val="0"/>
                <w:bCs w:val="0"/>
                <w:color w:val="000000"/>
                <w:sz w:val="20"/>
                <w:szCs w:val="20"/>
                <w:rtl w:val="0"/>
              </w:rPr>
              <w:t xml:space="preserve">↓ Filtrage par seuil de similarité (élimination des résultats non pertinents)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1E">
            <w:pPr>
              <w:rPr/>
            </w:pPr>
            <w:r w:rsidDel="00000000" w:rsidR="00000000" w:rsidRPr="00000000">
              <w:rPr>
                <w:b w:val="0"/>
                <w:bCs w:val="0"/>
                <w:color w:val="000000"/>
                <w:sz w:val="20"/>
                <w:szCs w:val="20"/>
                <w:rtl w:val="0"/>
              </w:rPr>
              <w:t xml:space="preserve">↓ Construction du prompt (contexte récupéré + question)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1F">
            <w:pPr>
              <w:rPr/>
            </w:pPr>
            <w:r w:rsidDel="00000000" w:rsidR="00000000" w:rsidRPr="00000000">
              <w:rPr>
                <w:b w:val="0"/>
                <w:bCs w:val="0"/>
                <w:color w:val="000000"/>
                <w:sz w:val="20"/>
                <w:szCs w:val="20"/>
                <w:rtl w:val="0"/>
              </w:rPr>
              <w:t xml:space="preserve">↓ Génération de la réponse par le LLM (Groq — Llama 3.3 70B)</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0">
            <w:pPr>
              <w:rPr/>
            </w:pPr>
            <w:r w:rsidDel="00000000" w:rsidR="00000000" w:rsidRPr="00000000">
              <w:rPr>
                <w:b w:val="0"/>
                <w:bCs w:val="0"/>
                <w:color w:val="000000"/>
                <w:sz w:val="20"/>
                <w:szCs w:val="20"/>
                <w:rtl w:val="0"/>
              </w:rPr>
              <w:t xml:space="preserve">Réponse affichée à l'utilisateur, avec repli "je ne sais pas" si aucun contexte pertinent</w:t>
            </w:r>
            <w:r w:rsidDel="00000000" w:rsidR="00000000" w:rsidRPr="00000000">
              <w:rPr>
                <w:rtl w:val="0"/>
              </w:rPr>
            </w:r>
          </w:p>
        </w:tc>
      </w:tr>
    </w:tbl>
    <w:p w:rsidR="00000000" w:rsidDel="00000000" w:rsidP="00000000" w:rsidRDefault="00000000" w:rsidRPr="00000000" w14:paraId="00000021">
      <w:pPr>
        <w:spacing w:before="200" w:lineRule="auto"/>
        <w:rPr/>
      </w:pPr>
      <w:r w:rsidDel="00000000" w:rsidR="00000000" w:rsidRPr="00000000">
        <w:rPr>
          <w:rtl w:val="0"/>
        </w:rPr>
      </w:r>
    </w:p>
    <w:p w:rsidR="00000000" w:rsidDel="00000000" w:rsidP="00000000" w:rsidRDefault="00000000" w:rsidRPr="00000000" w14:paraId="00000022">
      <w:pPr>
        <w:pStyle w:val="Heading2"/>
        <w:spacing w:after="120" w:before="300" w:lineRule="auto"/>
        <w:rPr/>
      </w:pPr>
      <w:r w:rsidDel="00000000" w:rsidR="00000000" w:rsidRPr="00000000">
        <w:rPr>
          <w:b w:val="1"/>
          <w:bCs w:val="1"/>
          <w:color w:val="1f4e3c"/>
          <w:sz w:val="24"/>
          <w:szCs w:val="24"/>
          <w:rtl w:val="0"/>
        </w:rPr>
        <w:t xml:space="preserve">2.2 Composants techniques</w:t>
      </w:r>
      <w:r w:rsidDel="00000000" w:rsidR="00000000" w:rsidRPr="00000000">
        <w:rPr>
          <w:rtl w:val="0"/>
        </w:rPr>
      </w:r>
    </w:p>
    <w:tbl>
      <w:tblPr>
        <w:tblStyle w:val="Table3"/>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00"/>
        <w:tblGridChange w:id="0">
          <w:tblGrid>
            <w:gridCol w:w="3000"/>
            <w:gridCol w:w="6000"/>
          </w:tblGrid>
        </w:tblGridChange>
      </w:tblGrid>
      <w:tr>
        <w:trPr>
          <w:cantSplit w:val="0"/>
          <w:tblHeader w:val="0"/>
        </w:trPr>
        <w:tc>
          <w:tcPr>
            <w:shd w:fill="1f4e3c" w:val="clear"/>
            <w:tcMar>
              <w:top w:w="100.0" w:type="dxa"/>
              <w:left w:w="120.0" w:type="dxa"/>
              <w:bottom w:w="100.0" w:type="dxa"/>
              <w:right w:w="120.0" w:type="dxa"/>
            </w:tcMar>
          </w:tcPr>
          <w:p w:rsidR="00000000" w:rsidDel="00000000" w:rsidP="00000000" w:rsidRDefault="00000000" w:rsidRPr="00000000" w14:paraId="00000023">
            <w:pPr>
              <w:rPr/>
            </w:pPr>
            <w:r w:rsidDel="00000000" w:rsidR="00000000" w:rsidRPr="00000000">
              <w:rPr>
                <w:b w:val="1"/>
                <w:bCs w:val="1"/>
                <w:color w:val="ffffff"/>
                <w:sz w:val="20"/>
                <w:szCs w:val="20"/>
                <w:rtl w:val="0"/>
              </w:rPr>
              <w:t xml:space="preserve">Composant</w:t>
            </w:r>
            <w:r w:rsidDel="00000000" w:rsidR="00000000" w:rsidRPr="00000000">
              <w:rPr>
                <w:rtl w:val="0"/>
              </w:rPr>
            </w:r>
          </w:p>
        </w:tc>
        <w:tc>
          <w:tcPr>
            <w:shd w:fill="1f4e3c" w:val="clear"/>
            <w:tcMar>
              <w:top w:w="100.0" w:type="dxa"/>
              <w:left w:w="120.0" w:type="dxa"/>
              <w:bottom w:w="100.0" w:type="dxa"/>
              <w:right w:w="120.0" w:type="dxa"/>
            </w:tcMar>
          </w:tcPr>
          <w:p w:rsidR="00000000" w:rsidDel="00000000" w:rsidP="00000000" w:rsidRDefault="00000000" w:rsidRPr="00000000" w14:paraId="00000024">
            <w:pPr>
              <w:rPr/>
            </w:pPr>
            <w:r w:rsidDel="00000000" w:rsidR="00000000" w:rsidRPr="00000000">
              <w:rPr>
                <w:b w:val="1"/>
                <w:bCs w:val="1"/>
                <w:color w:val="ffffff"/>
                <w:sz w:val="20"/>
                <w:szCs w:val="20"/>
                <w:rtl w:val="0"/>
              </w:rPr>
              <w:t xml:space="preserve">Technologie retenue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5">
            <w:pPr>
              <w:rPr/>
            </w:pPr>
            <w:r w:rsidDel="00000000" w:rsidR="00000000" w:rsidRPr="00000000">
              <w:rPr>
                <w:b w:val="0"/>
                <w:bCs w:val="0"/>
                <w:color w:val="000000"/>
                <w:sz w:val="20"/>
                <w:szCs w:val="20"/>
                <w:rtl w:val="0"/>
              </w:rPr>
              <w:t xml:space="preserve">Collecte des données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6">
            <w:pPr>
              <w:rPr/>
            </w:pPr>
            <w:r w:rsidDel="00000000" w:rsidR="00000000" w:rsidRPr="00000000">
              <w:rPr>
                <w:b w:val="0"/>
                <w:bCs w:val="0"/>
                <w:color w:val="000000"/>
                <w:sz w:val="20"/>
                <w:szCs w:val="20"/>
                <w:rtl w:val="0"/>
              </w:rPr>
              <w:t xml:space="preserve">Communiqués officiels PDF (retranscrits manuellement), calendrier Moodle (.ics), maquette de cours (.csv)</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7">
            <w:pPr>
              <w:rPr/>
            </w:pPr>
            <w:r w:rsidDel="00000000" w:rsidR="00000000" w:rsidRPr="00000000">
              <w:rPr>
                <w:b w:val="0"/>
                <w:bCs w:val="0"/>
                <w:color w:val="000000"/>
                <w:sz w:val="20"/>
                <w:szCs w:val="20"/>
                <w:rtl w:val="0"/>
              </w:rPr>
              <w:t xml:space="preserve">Découpage (chunking)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8">
            <w:pPr>
              <w:rPr/>
            </w:pPr>
            <w:r w:rsidDel="00000000" w:rsidR="00000000" w:rsidRPr="00000000">
              <w:rPr>
                <w:b w:val="0"/>
                <w:bCs w:val="0"/>
                <w:color w:val="000000"/>
                <w:sz w:val="20"/>
                <w:szCs w:val="20"/>
                <w:rtl w:val="0"/>
              </w:rPr>
              <w:t xml:space="preserve">RecursiveCharacterTextSplitter (LangChain) pour les textes longs ; segmentation manuelle par communiqué/événement/cours pour les sources structurées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9">
            <w:pPr>
              <w:rPr/>
            </w:pPr>
            <w:r w:rsidDel="00000000" w:rsidR="00000000" w:rsidRPr="00000000">
              <w:rPr>
                <w:b w:val="0"/>
                <w:bCs w:val="0"/>
                <w:color w:val="000000"/>
                <w:sz w:val="20"/>
                <w:szCs w:val="20"/>
                <w:rtl w:val="0"/>
              </w:rPr>
              <w:t xml:space="preserve">Modèle d'embeddings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A">
            <w:pPr>
              <w:rPr/>
            </w:pPr>
            <w:r w:rsidDel="00000000" w:rsidR="00000000" w:rsidRPr="00000000">
              <w:rPr>
                <w:b w:val="0"/>
                <w:bCs w:val="0"/>
                <w:color w:val="000000"/>
                <w:sz w:val="20"/>
                <w:szCs w:val="20"/>
                <w:rtl w:val="0"/>
              </w:rPr>
              <w:t xml:space="preserve">paraphrase-multilingual-MiniLM-L12-v2 (Sentence-Transformers, Hugging Face) — 384 dimensions, gratuit, multilingue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B">
            <w:pPr>
              <w:rPr/>
            </w:pPr>
            <w:r w:rsidDel="00000000" w:rsidR="00000000" w:rsidRPr="00000000">
              <w:rPr>
                <w:b w:val="0"/>
                <w:bCs w:val="0"/>
                <w:color w:val="000000"/>
                <w:sz w:val="20"/>
                <w:szCs w:val="20"/>
                <w:rtl w:val="0"/>
              </w:rPr>
              <w:t xml:space="preserve">Base vectorielle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C">
            <w:pPr>
              <w:rPr/>
            </w:pPr>
            <w:r w:rsidDel="00000000" w:rsidR="00000000" w:rsidRPr="00000000">
              <w:rPr>
                <w:b w:val="0"/>
                <w:bCs w:val="0"/>
                <w:color w:val="000000"/>
                <w:sz w:val="20"/>
                <w:szCs w:val="20"/>
                <w:rtl w:val="0"/>
              </w:rPr>
              <w:t xml:space="preserve">ChromaDB (PersistentClient), collection unique "ifoad_communiques"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D">
            <w:pPr>
              <w:rPr/>
            </w:pPr>
            <w:r w:rsidDel="00000000" w:rsidR="00000000" w:rsidRPr="00000000">
              <w:rPr>
                <w:b w:val="0"/>
                <w:bCs w:val="0"/>
                <w:color w:val="000000"/>
                <w:sz w:val="20"/>
                <w:szCs w:val="20"/>
                <w:rtl w:val="0"/>
              </w:rPr>
              <w:t xml:space="preserve">Modèle de langage (LLM)</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E">
            <w:pPr>
              <w:rPr/>
            </w:pPr>
            <w:r w:rsidDel="00000000" w:rsidR="00000000" w:rsidRPr="00000000">
              <w:rPr>
                <w:b w:val="0"/>
                <w:bCs w:val="0"/>
                <w:color w:val="000000"/>
                <w:sz w:val="20"/>
                <w:szCs w:val="20"/>
                <w:rtl w:val="0"/>
              </w:rPr>
              <w:t xml:space="preserve">Groq API — llama-3.3-70b-versatile (inférence rapide, gratuite en usage modéré)</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F">
            <w:pPr>
              <w:rPr/>
            </w:pPr>
            <w:r w:rsidDel="00000000" w:rsidR="00000000" w:rsidRPr="00000000">
              <w:rPr>
                <w:b w:val="0"/>
                <w:bCs w:val="0"/>
                <w:color w:val="000000"/>
                <w:sz w:val="20"/>
                <w:szCs w:val="20"/>
                <w:rtl w:val="0"/>
              </w:rPr>
              <w:t xml:space="preserve">Interface utilisateur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0">
            <w:pPr>
              <w:rPr/>
            </w:pPr>
            <w:r w:rsidDel="00000000" w:rsidR="00000000" w:rsidRPr="00000000">
              <w:rPr>
                <w:b w:val="0"/>
                <w:bCs w:val="0"/>
                <w:color w:val="000000"/>
                <w:sz w:val="20"/>
                <w:szCs w:val="20"/>
                <w:rtl w:val="0"/>
              </w:rPr>
              <w:t xml:space="preserve">Streamlit avec st.chat_message, déployé sur Streamlit Community Cloud</w:t>
            </w:r>
            <w:r w:rsidDel="00000000" w:rsidR="00000000" w:rsidRPr="00000000">
              <w:rPr>
                <w:rtl w:val="0"/>
              </w:rPr>
            </w:r>
          </w:p>
        </w:tc>
      </w:tr>
    </w:tbl>
    <w:p w:rsidR="00000000" w:rsidDel="00000000" w:rsidP="00000000" w:rsidRDefault="00000000" w:rsidRPr="00000000" w14:paraId="00000031">
      <w:pPr>
        <w:pStyle w:val="Heading1"/>
        <w:pBdr>
          <w:bottom w:color="1f4e3c" w:space="4" w:sz="6" w:val="single"/>
        </w:pBdr>
        <w:spacing w:after="200" w:before="400" w:lineRule="auto"/>
        <w:rPr/>
      </w:pPr>
      <w:r w:rsidDel="00000000" w:rsidR="00000000" w:rsidRPr="00000000">
        <w:rPr>
          <w:b w:val="1"/>
          <w:bCs w:val="1"/>
          <w:color w:val="1f4e3c"/>
          <w:sz w:val="30"/>
          <w:szCs w:val="30"/>
          <w:rtl w:val="0"/>
        </w:rPr>
        <w:t xml:space="preserve">3. Méthodologie</w:t>
      </w:r>
      <w:r w:rsidDel="00000000" w:rsidR="00000000" w:rsidRPr="00000000">
        <w:rPr>
          <w:rtl w:val="0"/>
        </w:rPr>
      </w:r>
    </w:p>
    <w:p w:rsidR="00000000" w:rsidDel="00000000" w:rsidP="00000000" w:rsidRDefault="00000000" w:rsidRPr="00000000" w14:paraId="00000032">
      <w:pPr>
        <w:pStyle w:val="Heading2"/>
        <w:spacing w:after="120" w:before="300" w:lineRule="auto"/>
        <w:rPr/>
      </w:pPr>
      <w:r w:rsidDel="00000000" w:rsidR="00000000" w:rsidRPr="00000000">
        <w:rPr>
          <w:b w:val="1"/>
          <w:bCs w:val="1"/>
          <w:color w:val="1f4e3c"/>
          <w:sz w:val="24"/>
          <w:szCs w:val="24"/>
          <w:rtl w:val="0"/>
        </w:rPr>
        <w:t xml:space="preserve">3.1 Stratégie de collecte et de chunking</w:t>
      </w:r>
      <w:r w:rsidDel="00000000" w:rsidR="00000000" w:rsidRPr="00000000">
        <w:rPr>
          <w:rtl w:val="0"/>
        </w:rPr>
      </w:r>
    </w:p>
    <w:p w:rsidR="00000000" w:rsidDel="00000000" w:rsidP="00000000" w:rsidRDefault="00000000" w:rsidRPr="00000000" w14:paraId="00000033">
      <w:pPr>
        <w:spacing w:after="160" w:line="276" w:lineRule="auto"/>
        <w:rPr/>
      </w:pPr>
      <w:r w:rsidDel="00000000" w:rsidR="00000000" w:rsidRPr="00000000">
        <w:rPr>
          <w:sz w:val="22"/>
          <w:szCs w:val="22"/>
          <w:rtl w:val="0"/>
        </w:rPr>
        <w:t xml:space="preserve">Une première version du pipeline s'appuyait sur une extraction automatique du texte des PDF via pypdf, avec un recours à l'OCR (Tesseract) pour les pages scannées. Cette approche s'est révélée peu fiable : le texte natif extrait des PDF officiels était mal formaté (espacements multiples, mots collés), ce qui dégradait la qualité sémantique des embeddings générés.</w:t>
      </w:r>
      <w:r w:rsidDel="00000000" w:rsidR="00000000" w:rsidRPr="00000000">
        <w:rPr>
          <w:rtl w:val="0"/>
        </w:rPr>
      </w:r>
    </w:p>
    <w:p w:rsidR="00000000" w:rsidDel="00000000" w:rsidP="00000000" w:rsidRDefault="00000000" w:rsidRPr="00000000" w14:paraId="00000034">
      <w:pPr>
        <w:spacing w:after="160" w:line="276" w:lineRule="auto"/>
        <w:rPr/>
      </w:pPr>
      <w:r w:rsidDel="00000000" w:rsidR="00000000" w:rsidRPr="00000000">
        <w:rPr>
          <w:sz w:val="22"/>
          <w:szCs w:val="22"/>
          <w:rtl w:val="0"/>
        </w:rPr>
        <w:t xml:space="preserve">Le pipeline a donc été révisé pour privilégier une retranscription manuelle et propre des communiqués officiels (conditions de candidature, composition du dossier, modalités de soumission, frais), organisée en segments courts et thématiques (un chunk par sous-thème : conditions, dossier, soumission, frais). Cette approche a nettement amélioré la pertinence des résultats de recherche.</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Communiqués officiels : 8 segments manuels (4 pour le Master Data Science, 4 pour la Licence Informatique Appliquée)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Calendrier académique (.ics) : 5 segments, un par événement (examens, dépôts de projets, visioconférences)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Maquette de cours (.csv) : 32 segments, un par élément constitutif d'enseignement (EC)</w:t>
      </w:r>
      <w:r w:rsidDel="00000000" w:rsidR="00000000" w:rsidRPr="00000000">
        <w:rPr>
          <w:rtl w:val="0"/>
        </w:rPr>
      </w:r>
    </w:p>
    <w:p w:rsidR="00000000" w:rsidDel="00000000" w:rsidP="00000000" w:rsidRDefault="00000000" w:rsidRPr="00000000" w14:paraId="00000038">
      <w:pPr>
        <w:spacing w:after="160" w:line="276" w:lineRule="auto"/>
        <w:rPr/>
      </w:pPr>
      <w:r w:rsidDel="00000000" w:rsidR="00000000" w:rsidRPr="00000000">
        <w:rPr>
          <w:sz w:val="22"/>
          <w:szCs w:val="22"/>
          <w:rtl w:val="0"/>
        </w:rPr>
        <w:t xml:space="preserve">Chaque segment est systématiquement préfixé par des métadonnées contextuelles (formation, type de document, année académique) afin que le modèle de langage dispose toujours du contexte nécessaire pour attribuer correctement l'information à la bonne formation.</w:t>
      </w:r>
      <w:r w:rsidDel="00000000" w:rsidR="00000000" w:rsidRPr="00000000">
        <w:rPr>
          <w:rtl w:val="0"/>
        </w:rPr>
      </w:r>
    </w:p>
    <w:p w:rsidR="00000000" w:rsidDel="00000000" w:rsidP="00000000" w:rsidRDefault="00000000" w:rsidRPr="00000000" w14:paraId="00000039">
      <w:pPr>
        <w:pStyle w:val="Heading2"/>
        <w:spacing w:after="120" w:before="300" w:lineRule="auto"/>
        <w:rPr/>
      </w:pPr>
      <w:r w:rsidDel="00000000" w:rsidR="00000000" w:rsidRPr="00000000">
        <w:rPr>
          <w:b w:val="1"/>
          <w:bCs w:val="1"/>
          <w:color w:val="1f4e3c"/>
          <w:sz w:val="24"/>
          <w:szCs w:val="24"/>
          <w:rtl w:val="0"/>
        </w:rPr>
        <w:t xml:space="preserve">3.2 Choix du modèle d'embeddings</w:t>
      </w:r>
      <w:r w:rsidDel="00000000" w:rsidR="00000000" w:rsidRPr="00000000">
        <w:rPr>
          <w:rtl w:val="0"/>
        </w:rPr>
      </w:r>
    </w:p>
    <w:p w:rsidR="00000000" w:rsidDel="00000000" w:rsidP="00000000" w:rsidRDefault="00000000" w:rsidRPr="00000000" w14:paraId="0000003A">
      <w:pPr>
        <w:spacing w:after="160" w:line="276" w:lineRule="auto"/>
        <w:rPr/>
      </w:pPr>
      <w:r w:rsidDel="00000000" w:rsidR="00000000" w:rsidRPr="00000000">
        <w:rPr>
          <w:sz w:val="22"/>
          <w:szCs w:val="22"/>
          <w:rtl w:val="0"/>
        </w:rPr>
        <w:t xml:space="preserve">Le modèle paraphrase-multilingual-MiniLM-L12-v2 a été retenu pour trois raisons : il est gratuit et open source, il gère nativement le français, et il offre un bon compromis entre qualité sémantique et légèreté computationnelle (384 dimensions), permettant une exécution sans GPU dédié.</w:t>
      </w:r>
      <w:r w:rsidDel="00000000" w:rsidR="00000000" w:rsidRPr="00000000">
        <w:rPr>
          <w:rtl w:val="0"/>
        </w:rPr>
      </w:r>
    </w:p>
    <w:p w:rsidR="00000000" w:rsidDel="00000000" w:rsidP="00000000" w:rsidRDefault="00000000" w:rsidRPr="00000000" w14:paraId="0000003B">
      <w:pPr>
        <w:pStyle w:val="Heading2"/>
        <w:spacing w:after="120" w:before="300" w:lineRule="auto"/>
        <w:rPr/>
      </w:pPr>
      <w:r w:rsidDel="00000000" w:rsidR="00000000" w:rsidRPr="00000000">
        <w:rPr>
          <w:b w:val="1"/>
          <w:bCs w:val="1"/>
          <w:color w:val="1f4e3c"/>
          <w:sz w:val="24"/>
          <w:szCs w:val="24"/>
          <w:rtl w:val="0"/>
        </w:rPr>
        <w:t xml:space="preserve">3.3 Choix du modèle de langage</w:t>
      </w:r>
      <w:r w:rsidDel="00000000" w:rsidR="00000000" w:rsidRPr="00000000">
        <w:rPr>
          <w:rtl w:val="0"/>
        </w:rPr>
      </w:r>
    </w:p>
    <w:p w:rsidR="00000000" w:rsidDel="00000000" w:rsidP="00000000" w:rsidRDefault="00000000" w:rsidRPr="00000000" w14:paraId="0000003C">
      <w:pPr>
        <w:spacing w:after="160" w:line="276" w:lineRule="auto"/>
        <w:rPr/>
      </w:pPr>
      <w:r w:rsidDel="00000000" w:rsidR="00000000" w:rsidRPr="00000000">
        <w:rPr>
          <w:sz w:val="22"/>
          <w:szCs w:val="22"/>
          <w:rtl w:val="0"/>
        </w:rPr>
        <w:t xml:space="preserve">L'API Groq a été choisie pour la génération des réponses en raison de sa latence très faible et de la disponibilité gratuite du modèle Llama 3.3 70B Versatile, suffisamment performant pour synthétiser une réponse claire à partir du contexte récupéré, tout en respectant une consigne stricte de ne pas répondre en dehors du contexte fourni.</w:t>
      </w:r>
      <w:r w:rsidDel="00000000" w:rsidR="00000000" w:rsidRPr="00000000">
        <w:rPr>
          <w:rtl w:val="0"/>
        </w:rPr>
      </w:r>
    </w:p>
    <w:p w:rsidR="00000000" w:rsidDel="00000000" w:rsidP="00000000" w:rsidRDefault="00000000" w:rsidRPr="00000000" w14:paraId="0000003D">
      <w:pPr>
        <w:pStyle w:val="Heading2"/>
        <w:spacing w:after="120" w:before="300" w:lineRule="auto"/>
        <w:rPr/>
      </w:pPr>
      <w:r w:rsidDel="00000000" w:rsidR="00000000" w:rsidRPr="00000000">
        <w:rPr>
          <w:b w:val="1"/>
          <w:bCs w:val="1"/>
          <w:color w:val="1f4e3c"/>
          <w:sz w:val="24"/>
          <w:szCs w:val="24"/>
          <w:rtl w:val="0"/>
        </w:rPr>
        <w:t xml:space="preserve">3.4 Seuil de pertinence et gestion du "je ne sais pas"</w:t>
      </w:r>
      <w:r w:rsidDel="00000000" w:rsidR="00000000" w:rsidRPr="00000000">
        <w:rPr>
          <w:rtl w:val="0"/>
        </w:rPr>
      </w:r>
    </w:p>
    <w:p w:rsidR="00000000" w:rsidDel="00000000" w:rsidP="00000000" w:rsidRDefault="00000000" w:rsidRPr="00000000" w14:paraId="0000003E">
      <w:pPr>
        <w:spacing w:after="160" w:line="276" w:lineRule="auto"/>
        <w:rPr/>
      </w:pPr>
      <w:r w:rsidDel="00000000" w:rsidR="00000000" w:rsidRPr="00000000">
        <w:rPr>
          <w:sz w:val="22"/>
          <w:szCs w:val="22"/>
          <w:rtl w:val="0"/>
        </w:rPr>
        <w:t xml:space="preserve">ChromaDB retourne une distance cosinus (0 = identique, 2 = opposé) plutôt qu'un score de similarité direct. Une conversion (similarité = 1 − distance) a dû être appliquée avant comparaison à un seuil de pertinence. Ce seuil, fixé après plusieurs itérations de test à environ 0,45, permet de rejeter les segments trop peu pertinents et de déclencher une réponse de repli invitant l'utilisateur à contacter directement l'IFOAD lorsque l'information n'est pas disponible dans la base.</w:t>
      </w:r>
      <w:r w:rsidDel="00000000" w:rsidR="00000000" w:rsidRPr="00000000">
        <w:rPr>
          <w:rtl w:val="0"/>
        </w:rPr>
      </w:r>
    </w:p>
    <w:p w:rsidR="00000000" w:rsidDel="00000000" w:rsidP="00000000" w:rsidRDefault="00000000" w:rsidRPr="00000000" w14:paraId="0000003F">
      <w:pPr>
        <w:pStyle w:val="Heading1"/>
        <w:pBdr>
          <w:bottom w:color="1f4e3c" w:space="4" w:sz="6" w:val="single"/>
        </w:pBdr>
        <w:spacing w:after="200" w:before="400" w:lineRule="auto"/>
        <w:rPr/>
      </w:pPr>
      <w:r w:rsidDel="00000000" w:rsidR="00000000" w:rsidRPr="00000000">
        <w:rPr>
          <w:b w:val="1"/>
          <w:bCs w:val="1"/>
          <w:color w:val="1f4e3c"/>
          <w:sz w:val="30"/>
          <w:szCs w:val="30"/>
          <w:rtl w:val="0"/>
        </w:rPr>
        <w:t xml:space="preserve">4. Évaluation du système</w:t>
      </w:r>
      <w:r w:rsidDel="00000000" w:rsidR="00000000" w:rsidRPr="00000000">
        <w:rPr>
          <w:rtl w:val="0"/>
        </w:rPr>
      </w:r>
    </w:p>
    <w:p w:rsidR="00000000" w:rsidDel="00000000" w:rsidP="00000000" w:rsidRDefault="00000000" w:rsidRPr="00000000" w14:paraId="00000040">
      <w:pPr>
        <w:spacing w:after="160" w:line="276" w:lineRule="auto"/>
        <w:rPr/>
      </w:pPr>
      <w:r w:rsidDel="00000000" w:rsidR="00000000" w:rsidRPr="00000000">
        <w:rPr>
          <w:sz w:val="22"/>
          <w:szCs w:val="22"/>
          <w:rtl w:val="0"/>
        </w:rPr>
        <w:t xml:space="preserve">Conformément à la nouveauté attendue pour l'édition 2026 du projet, une évaluation qualitative de la robustesse du système a été menée à travers une série de requêtes types.</w:t>
      </w:r>
      <w:r w:rsidDel="00000000" w:rsidR="00000000" w:rsidRPr="00000000">
        <w:rPr>
          <w:rtl w:val="0"/>
        </w:rPr>
      </w:r>
    </w:p>
    <w:tbl>
      <w:tblPr>
        <w:tblStyle w:val="Table4"/>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500"/>
        <w:gridCol w:w="2500"/>
        <w:tblGridChange w:id="0">
          <w:tblGrid>
            <w:gridCol w:w="4000"/>
            <w:gridCol w:w="2500"/>
            <w:gridCol w:w="2500"/>
          </w:tblGrid>
        </w:tblGridChange>
      </w:tblGrid>
      <w:tr>
        <w:trPr>
          <w:cantSplit w:val="0"/>
          <w:tblHeader w:val="0"/>
        </w:trPr>
        <w:tc>
          <w:tcPr>
            <w:shd w:fill="1f4e3c" w:val="clear"/>
            <w:tcMar>
              <w:top w:w="100.0" w:type="dxa"/>
              <w:left w:w="120.0" w:type="dxa"/>
              <w:bottom w:w="100.0" w:type="dxa"/>
              <w:right w:w="120.0" w:type="dxa"/>
            </w:tcMar>
          </w:tcPr>
          <w:p w:rsidR="00000000" w:rsidDel="00000000" w:rsidP="00000000" w:rsidRDefault="00000000" w:rsidRPr="00000000" w14:paraId="00000041">
            <w:pPr>
              <w:rPr/>
            </w:pPr>
            <w:r w:rsidDel="00000000" w:rsidR="00000000" w:rsidRPr="00000000">
              <w:rPr>
                <w:b w:val="1"/>
                <w:bCs w:val="1"/>
                <w:color w:val="ffffff"/>
                <w:sz w:val="20"/>
                <w:szCs w:val="20"/>
                <w:rtl w:val="0"/>
              </w:rPr>
              <w:t xml:space="preserve">Type de requête</w:t>
            </w:r>
            <w:r w:rsidDel="00000000" w:rsidR="00000000" w:rsidRPr="00000000">
              <w:rPr>
                <w:rtl w:val="0"/>
              </w:rPr>
            </w:r>
          </w:p>
        </w:tc>
        <w:tc>
          <w:tcPr>
            <w:shd w:fill="1f4e3c" w:val="clear"/>
            <w:tcMar>
              <w:top w:w="100.0" w:type="dxa"/>
              <w:left w:w="120.0" w:type="dxa"/>
              <w:bottom w:w="100.0" w:type="dxa"/>
              <w:right w:w="120.0" w:type="dxa"/>
            </w:tcMar>
          </w:tcPr>
          <w:p w:rsidR="00000000" w:rsidDel="00000000" w:rsidP="00000000" w:rsidRDefault="00000000" w:rsidRPr="00000000" w14:paraId="00000042">
            <w:pPr>
              <w:rPr/>
            </w:pPr>
            <w:r w:rsidDel="00000000" w:rsidR="00000000" w:rsidRPr="00000000">
              <w:rPr>
                <w:b w:val="1"/>
                <w:bCs w:val="1"/>
                <w:color w:val="ffffff"/>
                <w:sz w:val="20"/>
                <w:szCs w:val="20"/>
                <w:rtl w:val="0"/>
              </w:rPr>
              <w:t xml:space="preserve">Résultat attendu</w:t>
            </w:r>
            <w:r w:rsidDel="00000000" w:rsidR="00000000" w:rsidRPr="00000000">
              <w:rPr>
                <w:rtl w:val="0"/>
              </w:rPr>
            </w:r>
          </w:p>
        </w:tc>
        <w:tc>
          <w:tcPr>
            <w:shd w:fill="1f4e3c" w:val="clear"/>
            <w:tcMar>
              <w:top w:w="100.0" w:type="dxa"/>
              <w:left w:w="120.0" w:type="dxa"/>
              <w:bottom w:w="100.0" w:type="dxa"/>
              <w:right w:w="120.0" w:type="dxa"/>
            </w:tcMar>
          </w:tcPr>
          <w:p w:rsidR="00000000" w:rsidDel="00000000" w:rsidP="00000000" w:rsidRDefault="00000000" w:rsidRPr="00000000" w14:paraId="00000043">
            <w:pPr>
              <w:rPr/>
            </w:pPr>
            <w:r w:rsidDel="00000000" w:rsidR="00000000" w:rsidRPr="00000000">
              <w:rPr>
                <w:b w:val="1"/>
                <w:bCs w:val="1"/>
                <w:color w:val="ffffff"/>
                <w:sz w:val="20"/>
                <w:szCs w:val="20"/>
                <w:rtl w:val="0"/>
              </w:rPr>
              <w:t xml:space="preserve">Résultat observé</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4">
            <w:pPr>
              <w:rPr/>
            </w:pPr>
            <w:r w:rsidDel="00000000" w:rsidR="00000000" w:rsidRPr="00000000">
              <w:rPr>
                <w:b w:val="0"/>
                <w:bCs w:val="0"/>
                <w:color w:val="000000"/>
                <w:sz w:val="20"/>
                <w:szCs w:val="20"/>
                <w:rtl w:val="0"/>
              </w:rPr>
              <w:t xml:space="preserve">Question précise, formation nommée (ex : "frais d'inscription pour le Master Data Science")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5">
            <w:pPr>
              <w:rPr/>
            </w:pPr>
            <w:r w:rsidDel="00000000" w:rsidR="00000000" w:rsidRPr="00000000">
              <w:rPr>
                <w:b w:val="0"/>
                <w:bCs w:val="0"/>
                <w:color w:val="000000"/>
                <w:sz w:val="20"/>
                <w:szCs w:val="20"/>
                <w:rtl w:val="0"/>
              </w:rPr>
              <w:t xml:space="preserve">Chunk pertinent récupéré</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6">
            <w:pPr>
              <w:rPr/>
            </w:pPr>
            <w:r w:rsidDel="00000000" w:rsidR="00000000" w:rsidRPr="00000000">
              <w:rPr>
                <w:b w:val="0"/>
                <w:bCs w:val="0"/>
                <w:color w:val="000000"/>
                <w:sz w:val="20"/>
                <w:szCs w:val="20"/>
                <w:rtl w:val="0"/>
              </w:rPr>
              <w:t xml:space="preserve">Conforme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7">
            <w:pPr>
              <w:rPr/>
            </w:pPr>
            <w:r w:rsidDel="00000000" w:rsidR="00000000" w:rsidRPr="00000000">
              <w:rPr>
                <w:b w:val="0"/>
                <w:bCs w:val="0"/>
                <w:color w:val="000000"/>
                <w:sz w:val="20"/>
                <w:szCs w:val="20"/>
                <w:rtl w:val="0"/>
              </w:rPr>
              <w:t xml:space="preserve">Question sur le calendrier (ex : "date du projet final")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8">
            <w:pPr>
              <w:rPr/>
            </w:pPr>
            <w:r w:rsidDel="00000000" w:rsidR="00000000" w:rsidRPr="00000000">
              <w:rPr>
                <w:b w:val="0"/>
                <w:bCs w:val="0"/>
                <w:color w:val="000000"/>
                <w:sz w:val="20"/>
                <w:szCs w:val="20"/>
                <w:rtl w:val="0"/>
              </w:rPr>
              <w:t xml:space="preserve">Événement ICS récupéré</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9">
            <w:pPr>
              <w:rPr/>
            </w:pPr>
            <w:r w:rsidDel="00000000" w:rsidR="00000000" w:rsidRPr="00000000">
              <w:rPr>
                <w:b w:val="0"/>
                <w:bCs w:val="0"/>
                <w:color w:val="000000"/>
                <w:sz w:val="20"/>
                <w:szCs w:val="20"/>
                <w:rtl w:val="0"/>
              </w:rPr>
              <w:t xml:space="preserve">Conforme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A">
            <w:pPr>
              <w:rPr/>
            </w:pPr>
            <w:r w:rsidDel="00000000" w:rsidR="00000000" w:rsidRPr="00000000">
              <w:rPr>
                <w:b w:val="0"/>
                <w:bCs w:val="0"/>
                <w:color w:val="000000"/>
                <w:sz w:val="20"/>
                <w:szCs w:val="20"/>
                <w:rtl w:val="0"/>
              </w:rPr>
              <w:t xml:space="preserve">Question vague, formation non précisée (ex : "comment soumettre ma candidature ?")</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B">
            <w:pPr>
              <w:rPr/>
            </w:pPr>
            <w:r w:rsidDel="00000000" w:rsidR="00000000" w:rsidRPr="00000000">
              <w:rPr>
                <w:b w:val="0"/>
                <w:bCs w:val="0"/>
                <w:color w:val="000000"/>
                <w:sz w:val="20"/>
                <w:szCs w:val="20"/>
                <w:rtl w:val="0"/>
              </w:rPr>
              <w:t xml:space="preserve">Ambigu entre deux formations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C">
            <w:pPr>
              <w:rPr/>
            </w:pPr>
            <w:r w:rsidDel="00000000" w:rsidR="00000000" w:rsidRPr="00000000">
              <w:rPr>
                <w:b w:val="0"/>
                <w:bCs w:val="0"/>
                <w:color w:val="000000"/>
                <w:sz w:val="20"/>
                <w:szCs w:val="20"/>
                <w:rtl w:val="0"/>
              </w:rPr>
              <w:t xml:space="preserve">Échec partiel — sous le seuil de similarité</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D">
            <w:pPr>
              <w:rPr/>
            </w:pPr>
            <w:r w:rsidDel="00000000" w:rsidR="00000000" w:rsidRPr="00000000">
              <w:rPr>
                <w:b w:val="0"/>
                <w:bCs w:val="0"/>
                <w:color w:val="000000"/>
                <w:sz w:val="20"/>
                <w:szCs w:val="20"/>
                <w:rtl w:val="0"/>
              </w:rPr>
              <w:t xml:space="preserve">Question hors base (ex : "durée du Certificat Numérique")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E">
            <w:pPr>
              <w:rPr/>
            </w:pPr>
            <w:r w:rsidDel="00000000" w:rsidR="00000000" w:rsidRPr="00000000">
              <w:rPr>
                <w:b w:val="0"/>
                <w:bCs w:val="0"/>
                <w:color w:val="000000"/>
                <w:sz w:val="20"/>
                <w:szCs w:val="20"/>
                <w:rtl w:val="0"/>
              </w:rPr>
              <w:t xml:space="preserve">Réponse "je ne sais pas"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F">
            <w:pPr>
              <w:rPr/>
            </w:pPr>
            <w:r w:rsidDel="00000000" w:rsidR="00000000" w:rsidRPr="00000000">
              <w:rPr>
                <w:b w:val="0"/>
                <w:bCs w:val="0"/>
                <w:color w:val="000000"/>
                <w:sz w:val="20"/>
                <w:szCs w:val="20"/>
                <w:rtl w:val="0"/>
              </w:rPr>
              <w:t xml:space="preserve">Conforme (donnée absente de la base)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50">
            <w:pPr>
              <w:rPr/>
            </w:pPr>
            <w:r w:rsidDel="00000000" w:rsidR="00000000" w:rsidRPr="00000000">
              <w:rPr>
                <w:b w:val="0"/>
                <w:bCs w:val="0"/>
                <w:color w:val="000000"/>
                <w:sz w:val="20"/>
                <w:szCs w:val="20"/>
                <w:rtl w:val="0"/>
              </w:rPr>
              <w:t xml:space="preserve">Question totalement hors sujet (ex : "météo à Ouagadougou")</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1">
            <w:pPr>
              <w:rPr/>
            </w:pPr>
            <w:r w:rsidDel="00000000" w:rsidR="00000000" w:rsidRPr="00000000">
              <w:rPr>
                <w:b w:val="0"/>
                <w:bCs w:val="0"/>
                <w:color w:val="000000"/>
                <w:sz w:val="20"/>
                <w:szCs w:val="20"/>
                <w:rtl w:val="0"/>
              </w:rPr>
              <w:t xml:space="preserve">Réponse "je ne sais pas"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2">
            <w:pPr>
              <w:rPr/>
            </w:pPr>
            <w:r w:rsidDel="00000000" w:rsidR="00000000" w:rsidRPr="00000000">
              <w:rPr>
                <w:b w:val="0"/>
                <w:bCs w:val="0"/>
                <w:color w:val="000000"/>
                <w:sz w:val="20"/>
                <w:szCs w:val="20"/>
                <w:rtl w:val="0"/>
              </w:rPr>
              <w:t xml:space="preserve">Conforme</w:t>
            </w:r>
            <w:r w:rsidDel="00000000" w:rsidR="00000000" w:rsidRPr="00000000">
              <w:rPr>
                <w:rtl w:val="0"/>
              </w:rPr>
            </w:r>
          </w:p>
        </w:tc>
      </w:tr>
    </w:tbl>
    <w:p w:rsidR="00000000" w:rsidDel="00000000" w:rsidP="00000000" w:rsidRDefault="00000000" w:rsidRPr="00000000" w14:paraId="00000053">
      <w:pPr>
        <w:spacing w:before="200" w:lineRule="auto"/>
        <w:rPr/>
      </w:pPr>
      <w:r w:rsidDel="00000000" w:rsidR="00000000" w:rsidRPr="00000000">
        <w:rPr>
          <w:rtl w:val="0"/>
        </w:rPr>
      </w:r>
    </w:p>
    <w:p w:rsidR="00000000" w:rsidDel="00000000" w:rsidP="00000000" w:rsidRDefault="00000000" w:rsidRPr="00000000" w14:paraId="00000054">
      <w:pPr>
        <w:spacing w:after="160" w:line="276" w:lineRule="auto"/>
        <w:rPr/>
      </w:pPr>
      <w:r w:rsidDel="00000000" w:rsidR="00000000" w:rsidRPr="00000000">
        <w:rPr>
          <w:sz w:val="22"/>
          <w:szCs w:val="22"/>
          <w:rtl w:val="0"/>
        </w:rPr>
        <w:t xml:space="preserve">Ces tests confirment que le système évite globalement l'hallucination — il ne restitue jamais d'information absente de sa base — mais révèlent une sensibilité de la recherche vectorielle à la formulation des questions lorsque celles-ci ne mentionnent pas explicitement la formation concernée.</w:t>
      </w:r>
      <w:r w:rsidDel="00000000" w:rsidR="00000000" w:rsidRPr="00000000">
        <w:rPr>
          <w:rtl w:val="0"/>
        </w:rPr>
      </w:r>
    </w:p>
    <w:p w:rsidR="00000000" w:rsidDel="00000000" w:rsidP="00000000" w:rsidRDefault="00000000" w:rsidRPr="00000000" w14:paraId="00000055">
      <w:pPr>
        <w:pStyle w:val="Heading1"/>
        <w:pBdr>
          <w:bottom w:color="1f4e3c" w:space="4" w:sz="6" w:val="single"/>
        </w:pBdr>
        <w:spacing w:after="200" w:before="400" w:lineRule="auto"/>
        <w:rPr/>
      </w:pPr>
      <w:r w:rsidDel="00000000" w:rsidR="00000000" w:rsidRPr="00000000">
        <w:rPr>
          <w:b w:val="1"/>
          <w:bCs w:val="1"/>
          <w:color w:val="1f4e3c"/>
          <w:sz w:val="30"/>
          <w:szCs w:val="30"/>
          <w:rtl w:val="0"/>
        </w:rPr>
        <w:t xml:space="preserve">5. Limites et perspectives d'amélioration</w:t>
      </w:r>
      <w:r w:rsidDel="00000000" w:rsidR="00000000" w:rsidRPr="00000000">
        <w:rPr>
          <w:rtl w:val="0"/>
        </w:rPr>
      </w:r>
    </w:p>
    <w:p w:rsidR="00000000" w:rsidDel="00000000" w:rsidP="00000000" w:rsidRDefault="00000000" w:rsidRPr="00000000" w14:paraId="00000056">
      <w:pPr>
        <w:pStyle w:val="Heading2"/>
        <w:spacing w:after="120" w:before="300" w:lineRule="auto"/>
        <w:rPr/>
      </w:pPr>
      <w:r w:rsidDel="00000000" w:rsidR="00000000" w:rsidRPr="00000000">
        <w:rPr>
          <w:b w:val="1"/>
          <w:bCs w:val="1"/>
          <w:color w:val="1f4e3c"/>
          <w:sz w:val="24"/>
          <w:szCs w:val="24"/>
          <w:rtl w:val="0"/>
        </w:rPr>
        <w:t xml:space="preserve">5.1 Limites identifiées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Couverture partielle : seules deux formations (Master Data Science et Licence Informatique Appliquée) sont actuellement ingérées ; le Certificat en Compétences aux usages du numérique, par exemple, n'est pas encore intégré.</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Sensibilité aux questions génériques : lorsqu'une question ne précise pas la formation concernée, la recherche vectorielle peut ne récupérer aucun segment dépassant le seuil de similarité, malgré la présence de l'information dans la base.</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Seuil de similarité empirique : la valeur retenue (≈0,</w:t>
      </w:r>
      <w:r w:rsidDel="00000000" w:rsidR="00000000" w:rsidRPr="00000000">
        <w:rPr>
          <w:sz w:val="22"/>
          <w:szCs w:val="22"/>
          <w:rtl w:val="0"/>
        </w:rPr>
        <w:t xml:space="preserve">75</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 été ajustée par tâtonnement plutôt que par une méthode d'évaluation quantitative systématique (précision/rappel sur un jeu de questions-réponses annoté).</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Absence de recherche hybride : le système repose uniquement sur la similarité sémantique (embeddings), sans combinaison avec une recherche lexicale (BM25), qui pourrait améliorer la robustesse sur des requêtes contenant des mots-clés exacts (codes de cours, références de communiqués).</w:t>
      </w:r>
      <w:r w:rsidDel="00000000" w:rsidR="00000000" w:rsidRPr="00000000">
        <w:rPr>
          <w:rtl w:val="0"/>
        </w:rPr>
      </w:r>
    </w:p>
    <w:p w:rsidR="00000000" w:rsidDel="00000000" w:rsidP="00000000" w:rsidRDefault="00000000" w:rsidRPr="00000000" w14:paraId="0000005B">
      <w:pPr>
        <w:pStyle w:val="Heading2"/>
        <w:spacing w:after="120" w:before="300" w:lineRule="auto"/>
        <w:rPr/>
      </w:pPr>
      <w:r w:rsidDel="00000000" w:rsidR="00000000" w:rsidRPr="00000000">
        <w:rPr>
          <w:b w:val="1"/>
          <w:bCs w:val="1"/>
          <w:color w:val="1f4e3c"/>
          <w:sz w:val="24"/>
          <w:szCs w:val="24"/>
          <w:rtl w:val="0"/>
        </w:rPr>
        <w:t xml:space="preserve">5.2 Perspectives d'amélioration</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Étendre la base de connaissances aux autres formations de l'IFOAD-UJKZ (certificats, autres licences) au fur et à mesure de leur publication.</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Automatiser la collecte via un scraping périodique du site officiel de l'IFOAD, plutôt qu'une ingestion manuelle.</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Mettre en place une évaluation quantitative du système de récupération (retrieval) à l'aide d'un jeu de questions-réponses de référence, avec calcul de métriques de précision et de rappel.</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Explorer une recherche hybride (BM25 + embeddings) ou un mécanisme de reranking pour améliorer la robustesse face aux questions formulées de manière générique.</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Ajouter un mécanisme de reformulation automatique de la question (query expansion) lorsque la confiance de récupération est faible, avant de renvoyer une réponse de repli.</w:t>
      </w:r>
      <w:r w:rsidDel="00000000" w:rsidR="00000000" w:rsidRPr="00000000">
        <w:rPr>
          <w:rtl w:val="0"/>
        </w:rPr>
      </w:r>
    </w:p>
    <w:p w:rsidR="00000000" w:rsidDel="00000000" w:rsidP="00000000" w:rsidRDefault="00000000" w:rsidRPr="00000000" w14:paraId="00000061">
      <w:pPr>
        <w:pStyle w:val="Heading1"/>
        <w:pBdr>
          <w:bottom w:color="1f4e3c" w:space="4" w:sz="6" w:val="single"/>
        </w:pBdr>
        <w:spacing w:after="200" w:before="400" w:lineRule="auto"/>
        <w:rPr/>
      </w:pPr>
      <w:r w:rsidDel="00000000" w:rsidR="00000000" w:rsidRPr="00000000">
        <w:rPr>
          <w:b w:val="1"/>
          <w:bCs w:val="1"/>
          <w:color w:val="1f4e3c"/>
          <w:sz w:val="30"/>
          <w:szCs w:val="30"/>
          <w:rtl w:val="0"/>
        </w:rPr>
        <w:t xml:space="preserve">6. Conclusion</w:t>
      </w:r>
      <w:r w:rsidDel="00000000" w:rsidR="00000000" w:rsidRPr="00000000">
        <w:rPr>
          <w:rtl w:val="0"/>
        </w:rPr>
      </w:r>
    </w:p>
    <w:p w:rsidR="00000000" w:rsidDel="00000000" w:rsidP="00000000" w:rsidRDefault="00000000" w:rsidRPr="00000000" w14:paraId="00000062">
      <w:pPr>
        <w:spacing w:after="160" w:line="276" w:lineRule="auto"/>
        <w:rPr/>
      </w:pPr>
      <w:r w:rsidDel="00000000" w:rsidR="00000000" w:rsidRPr="00000000">
        <w:rPr>
          <w:sz w:val="22"/>
          <w:szCs w:val="22"/>
          <w:rtl w:val="0"/>
        </w:rPr>
        <w:t xml:space="preserve">Ce projet a permis de concevoir un assistant RAG fonctionnel et déployé publiquement, capable de répondre avec fiabilité aux questions courantes des étudiants et candidats de l'IFOAD-UJKZ à partir de documents officiels. Le travail a également mis en évidence, de façon concrète, les défis inhérents aux systèmes de recherche vectorielle — sensibilité du seuil de similarité, importance de la qualité du texte source, nécessité de préciser le contexte dans les requêtes — qui constituent des pistes claires d'amélioration pour une future itération du système.</w:t>
      </w:r>
      <w:r w:rsidDel="00000000" w:rsidR="00000000" w:rsidRPr="00000000">
        <w:rPr>
          <w:rtl w:val="0"/>
        </w:rPr>
      </w:r>
    </w:p>
    <w:p w:rsidR="00000000" w:rsidDel="00000000" w:rsidP="00000000" w:rsidRDefault="00000000" w:rsidRPr="00000000" w14:paraId="00000063">
      <w:pPr>
        <w:spacing w:before="400" w:lineRule="auto"/>
        <w:rPr/>
      </w:pPr>
      <w:r w:rsidDel="00000000" w:rsidR="00000000" w:rsidRPr="00000000">
        <w:rPr>
          <w:rtl w:val="0"/>
        </w:rPr>
      </w:r>
    </w:p>
    <w:p w:rsidR="00000000" w:rsidDel="00000000" w:rsidP="00000000" w:rsidRDefault="00000000" w:rsidRPr="00000000" w14:paraId="00000064">
      <w:pPr>
        <w:pStyle w:val="Heading2"/>
        <w:spacing w:after="120" w:before="300" w:lineRule="auto"/>
        <w:rPr/>
      </w:pPr>
      <w:r w:rsidDel="00000000" w:rsidR="00000000" w:rsidRPr="00000000">
        <w:rPr>
          <w:b w:val="1"/>
          <w:bCs w:val="1"/>
          <w:color w:val="1f4e3c"/>
          <w:sz w:val="24"/>
          <w:szCs w:val="24"/>
          <w:rtl w:val="0"/>
        </w:rPr>
        <w:t xml:space="preserve">Liens du projet</w:t>
      </w:r>
      <w:r w:rsidDel="00000000" w:rsidR="00000000" w:rsidRPr="00000000">
        <w:rPr>
          <w:rtl w:val="0"/>
        </w:rPr>
      </w:r>
    </w:p>
    <w:p w:rsidR="00000000" w:rsidDel="00000000" w:rsidP="00000000" w:rsidRDefault="00000000" w:rsidRPr="00000000" w14:paraId="00000065">
      <w:pPr>
        <w:shd w:fill="f2f2f2" w:val="clear"/>
        <w:spacing w:after="0" w:lineRule="auto"/>
        <w:rPr/>
      </w:pPr>
      <w:r w:rsidDel="00000000" w:rsidR="00000000" w:rsidRPr="00000000">
        <w:rPr>
          <w:rFonts w:ascii="Consolas" w:cs="Consolas" w:eastAsia="Consolas" w:hAnsi="Consolas"/>
          <w:sz w:val="20"/>
          <w:szCs w:val="20"/>
          <w:rtl w:val="0"/>
        </w:rPr>
        <w:t xml:space="preserve">Dépôt GitHub : https://github.com/sanfofaissal/projet-rag-ifoad</w:t>
      </w:r>
      <w:r w:rsidDel="00000000" w:rsidR="00000000" w:rsidRPr="00000000">
        <w:rPr>
          <w:rtl w:val="0"/>
        </w:rPr>
      </w:r>
    </w:p>
    <w:p w:rsidR="00000000" w:rsidDel="00000000" w:rsidP="00000000" w:rsidRDefault="00000000" w:rsidRPr="00000000" w14:paraId="00000066">
      <w:pPr>
        <w:shd w:fill="f2f2f2" w:val="clear"/>
        <w:spacing w:after="0" w:lineRule="auto"/>
        <w:rPr/>
      </w:pPr>
      <w:r w:rsidDel="00000000" w:rsidR="00000000" w:rsidRPr="00000000">
        <w:rPr>
          <w:rFonts w:ascii="Consolas" w:cs="Consolas" w:eastAsia="Consolas" w:hAnsi="Consolas"/>
          <w:sz w:val="20"/>
          <w:szCs w:val="20"/>
          <w:rtl w:val="0"/>
        </w:rPr>
        <w:t xml:space="preserve">Application déployée : https://projet-rag-ifoad-5pwg7epkxsw8ntrcawkun.streamlit.app</w:t>
      </w:r>
      <w:r w:rsidDel="00000000" w:rsidR="00000000" w:rsidRPr="00000000">
        <w:rPr>
          <w:rtl w:val="0"/>
        </w:rPr>
      </w:r>
    </w:p>
    <w:sectPr>
      <w:headerReference r:id="rId6" w:type="default"/>
      <w:footerReference r:id="rId7"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jc w:val="center"/>
      <w:rPr/>
    </w:pPr>
    <w:r w:rsidDel="00000000" w:rsidR="00000000" w:rsidRPr="00000000">
      <w:rPr>
        <w:color w:val="888888"/>
        <w:sz w:val="16"/>
        <w:szCs w:val="16"/>
        <w:rtl w:val="0"/>
      </w:rPr>
      <w:t xml:space="preserve">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color w:val="888888"/>
        <w:sz w:val="16"/>
        <w:szCs w:val="16"/>
        <w:rtl w:val="0"/>
      </w:rPr>
      <w:t xml:space="preserve"> / </w:t>
    </w:r>
    <w:r w:rsidDel="00000000" w:rsidR="00000000" w:rsidRPr="00000000">
      <w:rPr>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jc w:val="right"/>
      <w:rPr/>
    </w:pPr>
    <w:r w:rsidDel="00000000" w:rsidR="00000000" w:rsidRPr="00000000">
      <w:rPr>
        <w:color w:val="888888"/>
        <w:sz w:val="16"/>
        <w:szCs w:val="16"/>
        <w:rtl w:val="0"/>
      </w:rPr>
      <w:t xml:space="preserve">Assistant RAG IFOAD-UJKZ — Rapport technique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1"/>
      <w:numFmt w:val="bullet"/>
      <w:lvlText w:val="◦"/>
      <w:lvlJc w:val="left"/>
      <w:pPr>
        <w:ind w:left="84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