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20" w:line="300" w:lineRule="auto"/>
        <w:jc w:val="center"/>
      </w:pPr>
      <w:r>
        <w:rPr>
          <w:rFonts w:ascii="黑体" w:hAnsi="黑体" w:eastAsia="黑体"/>
          <w:b/>
          <w:sz w:val="32"/>
        </w:rPr>
        <w:t>神完整救恩的两面─法理的救赎加上生机的拯救</w:t>
      </w:r>
    </w:p>
    <w:p>
      <w:pPr>
        <w:spacing w:before="280" w:after="120" w:line="300" w:lineRule="auto"/>
      </w:pPr>
      <w:r>
        <w:rPr>
          <w:rFonts w:ascii="黑体" w:hAnsi="黑体" w:eastAsia="黑体"/>
          <w:b/>
          <w:sz w:val="28"/>
        </w:rPr>
        <w:t>一、负担说明</w:t>
      </w:r>
    </w:p>
    <w:p>
      <w:pPr>
        <w:spacing w:after="120" w:line="360" w:lineRule="auto"/>
        <w:ind w:firstLine="0"/>
      </w:pPr>
      <w:r>
        <w:rPr>
          <w:rFonts w:ascii="宋体" w:hAnsi="宋体" w:eastAsia="宋体"/>
          <w:b w:val="0"/>
          <w:i w:val="0"/>
          <w:sz w:val="24"/>
        </w:rPr>
        <w:t>神完整的救恩有两面，法理与生机。罗五章十节、二十一节启示，法理救赎乃是手续，使信徒有分于生机拯救这目的。约一章十二至十三节说，重生借基督复活将神生命分赐信徒，作神儿女。彼前二章二十五节的牧养喂养神圣生命，使其长大。罗六章十九、二十二节的性情圣别，使信徒被神性情构成；林后四章十六节的更新，三章十八节借主灵变化成主荣耀形像；弗四章十五至十六节众肢体联络建造基督身体；罗八章二十八至二十九节模成神长子形像；腓三章二十至二十一节身体得赎，得荣完满彰显。这生机八步，乃是那灵同我们的灵，使我们在生命性情彰显上成为神的复制。</w:t>
      </w:r>
    </w:p>
    <w:p>
      <w:pPr>
        <w:spacing w:before="280" w:after="120" w:line="300" w:lineRule="auto"/>
      </w:pPr>
      <w:r>
        <w:rPr>
          <w:rFonts w:ascii="黑体" w:hAnsi="黑体" w:eastAsia="黑体"/>
          <w:b/>
          <w:sz w:val="28"/>
        </w:rPr>
        <w:t>二、龙骨对照</w:t>
      </w:r>
    </w:p>
    <w:tbl>
      <w:tblPr>
        <w:tblStyle w:val="TableGrid"/>
        <w:tblW w:type="dxa" w:w="9865"/>
        <w:jc w:val="center"/>
        <w:tblLayout w:type="fixed"/>
        <w:tblLook w:firstColumn="1" w:firstRow="1" w:lastColumn="0" w:lastRow="0" w:noHBand="0" w:noVBand="1" w:val="04A0"/>
      </w:tblPr>
      <w:tblGrid>
        <w:gridCol w:w="4932"/>
        <w:gridCol w:w="4932"/>
      </w:tblGrid>
      <w:tr>
        <w:tc>
          <w:tcPr>
            <w:tcW w:type="dxa" w:w="4932"/>
            <w:tcMar>
              <w:top w:w="80" w:type="dxa"/>
              <w:left w:w="80" w:type="dxa"/>
              <w:bottom w:w="80" w:type="dxa"/>
              <w:right w:w="80" w:type="dxa"/>
            </w:tcMar>
            <w:vAlign w:val="top"/>
            <w:shd w:fill="D9E2F3" w:val="clear"/>
          </w:tcPr>
          <w:p>
            <w:pPr>
              <w:spacing w:after="120" w:before="40" w:line="300" w:lineRule="auto"/>
              <w:jc w:val="center"/>
            </w:pPr>
            <w:r/>
            <w:r>
              <w:rPr>
                <w:rFonts w:ascii="黑体" w:hAnsi="黑体" w:eastAsia="黑体"/>
                <w:b/>
                <w:sz w:val="22"/>
              </w:rPr>
              <w:t>生成的龙骨</w:t>
            </w:r>
          </w:p>
        </w:tc>
        <w:tc>
          <w:tcPr>
            <w:tcW w:type="dxa" w:w="4932"/>
            <w:tcMar>
              <w:top w:w="80" w:type="dxa"/>
              <w:left w:w="80" w:type="dxa"/>
              <w:bottom w:w="80" w:type="dxa"/>
              <w:right w:w="80" w:type="dxa"/>
            </w:tcMar>
            <w:vAlign w:val="top"/>
            <w:shd w:fill="FCE4D6" w:val="clear"/>
          </w:tcPr>
          <w:p>
            <w:pPr>
              <w:spacing w:after="120" w:before="40" w:line="300" w:lineRule="auto"/>
              <w:jc w:val="center"/>
            </w:pPr>
            <w:r/>
            <w:r>
              <w:rPr>
                <w:rFonts w:ascii="黑体" w:hAnsi="黑体" w:eastAsia="黑体"/>
                <w:b/>
                <w:sz w:val="22"/>
              </w:rPr>
              <w:t>原纲目大点（人工标注）</w:t>
            </w:r>
          </w:p>
        </w:tc>
      </w:tr>
      <w:tr>
        <w:tc>
          <w:tcPr>
            <w:tcW w:type="dxa" w:w="4932"/>
            <w:tcMar>
              <w:top w:w="80" w:type="dxa"/>
              <w:left w:w="80" w:type="dxa"/>
              <w:bottom w:w="80" w:type="dxa"/>
              <w:right w:w="80" w:type="dxa"/>
            </w:tcMar>
            <w:vAlign w:val="top"/>
          </w:tcPr>
          <w:p>
            <w:pPr>
              <w:spacing w:after="200" w:before="40" w:line="300" w:lineRule="auto"/>
            </w:pPr>
            <w:r/>
            <w:r>
              <w:rPr>
                <w:rFonts w:ascii="宋体" w:hAnsi="宋体" w:eastAsia="宋体"/>
                <w:b w:val="0"/>
                <w:sz w:val="21"/>
              </w:rPr>
              <w:t>①【真理启示】神完整的救恩有两面，法理与生机。</w:t>
            </w:r>
          </w:p>
          <w:p>
            <w:pPr>
              <w:spacing w:after="200" w:before="40" w:line="300" w:lineRule="auto"/>
            </w:pPr>
            <w:r>
              <w:rPr>
                <w:rFonts w:ascii="宋体" w:hAnsi="宋体" w:eastAsia="宋体"/>
                <w:b w:val="0"/>
                <w:sz w:val="21"/>
              </w:rPr>
              <w:t>②【真理启示】罗五章十节、二十一节启示，法理救赎乃是手续，使信徒有分于生机拯救这目的。</w:t>
            </w:r>
          </w:p>
          <w:p>
            <w:pPr>
              <w:spacing w:after="200" w:before="40" w:line="300" w:lineRule="auto"/>
            </w:pPr>
            <w:r>
              <w:rPr>
                <w:rFonts w:ascii="宋体" w:hAnsi="宋体" w:eastAsia="宋体"/>
                <w:b w:val="0"/>
                <w:sz w:val="21"/>
              </w:rPr>
              <w:t>③【真理启示】约一章十二至十三节说，重生借基督复活将神生命分赐信徒，作神儿女。</w:t>
            </w:r>
          </w:p>
          <w:p>
            <w:pPr>
              <w:spacing w:after="200" w:before="40" w:line="300" w:lineRule="auto"/>
            </w:pPr>
            <w:r>
              <w:rPr>
                <w:rFonts w:ascii="宋体" w:hAnsi="宋体" w:eastAsia="宋体"/>
                <w:b w:val="0"/>
                <w:sz w:val="21"/>
              </w:rPr>
              <w:t>④【真理启示】彼前二章二十五节的牧养喂养神圣生命，使其长大。</w:t>
            </w:r>
          </w:p>
          <w:p>
            <w:pPr>
              <w:spacing w:after="200" w:before="40" w:line="300" w:lineRule="auto"/>
            </w:pPr>
            <w:r>
              <w:rPr>
                <w:rFonts w:ascii="宋体" w:hAnsi="宋体" w:eastAsia="宋体"/>
                <w:b w:val="0"/>
                <w:sz w:val="21"/>
              </w:rPr>
              <w:t>⑤【真理启示】罗六章十九、二十二节的性情圣别，使信徒被神性情构成；林后四章十六节的更新，三章十八节借主灵变化成主荣耀形像；弗四章十五至十六节众肢体联络建造基督身体；罗八章二十八至二十九节模成神长子形像；腓三章二十至二十一节身体得赎，得荣完满彰显。</w:t>
            </w:r>
          </w:p>
          <w:p>
            <w:pPr>
              <w:spacing w:after="200" w:before="40" w:line="300" w:lineRule="auto"/>
            </w:pPr>
            <w:r>
              <w:rPr>
                <w:rFonts w:ascii="宋体" w:hAnsi="宋体" w:eastAsia="宋体"/>
                <w:b w:val="0"/>
                <w:sz w:val="21"/>
              </w:rPr>
              <w:t>⑥【确定目标】这生机八步，乃是那灵同我们的灵，使我们在生命性情彰显上成为神的复制。</w:t>
            </w:r>
          </w:p>
        </w:tc>
        <w:tc>
          <w:tcPr>
            <w:tcW w:type="dxa" w:w="4932"/>
            <w:tcMar>
              <w:top w:w="80" w:type="dxa"/>
              <w:left w:w="80" w:type="dxa"/>
              <w:bottom w:w="80" w:type="dxa"/>
              <w:right w:w="80" w:type="dxa"/>
            </w:tcMar>
            <w:vAlign w:val="top"/>
          </w:tcPr>
          <w:p>
            <w:pPr>
              <w:spacing w:after="200" w:before="40" w:line="300" w:lineRule="auto"/>
            </w:pPr>
            <w:r/>
            <w:r>
              <w:rPr>
                <w:rFonts w:ascii="宋体" w:hAnsi="宋体" w:eastAsia="宋体"/>
                <w:b w:val="0"/>
                <w:sz w:val="21"/>
              </w:rPr>
              <w:t>壹【真理启示】神完整的救恩有两面─法理的一面和生机的一面─罗五10、21，约一12~13，彼前二25，罗六19、22，林后四16，三18，弗四15~16，罗八28~29，腓三20~21：</w:t>
            </w:r>
          </w:p>
          <w:p>
            <w:pPr>
              <w:spacing w:after="200" w:before="40" w:line="300" w:lineRule="auto"/>
            </w:pPr>
            <w:r>
              <w:rPr>
                <w:rFonts w:ascii="宋体" w:hAnsi="宋体" w:eastAsia="宋体"/>
                <w:b w:val="0"/>
                <w:sz w:val="21"/>
              </w:rPr>
              <w:t>贰【真理启示】神救恩生机的一面，乃是在主观一面由那赐生命之灵的基督在祂天上职事神圣奥秘的范围里，完成以下八步：</w:t>
            </w:r>
          </w:p>
          <w:p>
            <w:pPr>
              <w:spacing w:after="200" w:before="40" w:line="300" w:lineRule="auto"/>
            </w:pPr>
            <w:r>
              <w:rPr>
                <w:rFonts w:ascii="宋体" w:hAnsi="宋体" w:eastAsia="宋体"/>
                <w:b w:val="0"/>
                <w:sz w:val="21"/>
              </w:rPr>
              <w:t>叁【确定目标】神生机救恩这八段的目标，乃是要使我们在生命、性情和彰显上（但不在神格上）成为神，就是使我们成为神的复制、复印；“那灵同我们的灵”乃是神生机救恩的秘诀：</w:t>
            </w:r>
          </w:p>
        </w:tc>
      </w:tr>
    </w:tbl>
    <w:p>
      <w:pPr>
        <w:spacing w:before="280" w:after="120" w:line="300" w:lineRule="auto"/>
      </w:pPr>
      <w:r>
        <w:rPr>
          <w:rFonts w:ascii="黑体" w:hAnsi="黑体" w:eastAsia="黑体"/>
          <w:b/>
          <w:sz w:val="28"/>
        </w:rPr>
        <w:t>三、龙骨评价</w:t>
      </w:r>
    </w:p>
    <w:p>
      <w:pPr>
        <w:spacing w:after="120" w:line="360" w:lineRule="auto" w:before="160"/>
        <w:ind w:firstLine="0"/>
      </w:pPr>
      <w:r>
        <w:rPr>
          <w:rFonts w:ascii="黑体" w:hAnsi="黑体" w:eastAsia="黑体"/>
          <w:b/>
          <w:sz w:val="24"/>
        </w:rPr>
        <w:t>一、龙骨本身质量</w:t>
      </w:r>
    </w:p>
    <w:p>
      <w:pPr>
        <w:spacing w:after="120" w:line="360" w:lineRule="auto"/>
        <w:ind w:firstLine="0"/>
      </w:pPr>
      <w:r>
        <w:rPr>
          <w:rFonts w:ascii="宋体" w:hAnsi="宋体" w:eastAsia="宋体"/>
          <w:b w:val="0"/>
          <w:i w:val="0"/>
          <w:sz w:val="24"/>
        </w:rPr>
        <w:t>这份骨架的推进线大体说得通：先界定两面，再点明法理是手续、生机是目的，随后顺着八步依序铺陈，末了收在「成为神的复制」，首尾有呼应，读来不算跳脱。前三条也确有纵深——从「有两面」到「手续与目的」再到「重生是生机之始」，是一层深一层。问题在第五条把圣别、更新、变化、建造、模成、得荣六步压成一条，体量明显失衡，作为纲目大点过于臃肿，各步之间的递进关系被抹平成平行罗列；相较之下第四条又显单薄。六阶段仅用两类，虽不能因类别单一即判扁平，但八步中「建造」的团体一面完全没有落点，全篇停在客观陈述层，缺少信徒一面的着力处。整体是一副可用但需再切分、再分层的骨架。</w:t>
      </w:r>
    </w:p>
    <w:p>
      <w:pPr>
        <w:spacing w:after="120" w:line="360" w:lineRule="auto" w:before="160"/>
        <w:ind w:firstLine="0"/>
      </w:pPr>
      <w:r>
        <w:rPr>
          <w:rFonts w:ascii="黑体" w:hAnsi="黑体" w:eastAsia="黑体"/>
          <w:b/>
          <w:sz w:val="24"/>
        </w:rPr>
        <w:t>二、与原纲目的差异</w:t>
      </w:r>
    </w:p>
    <w:p>
      <w:pPr>
        <w:spacing w:after="120" w:line="360" w:lineRule="auto"/>
        <w:ind w:firstLine="0"/>
      </w:pPr>
      <w:r>
        <w:rPr>
          <w:rFonts w:ascii="宋体" w:hAnsi="宋体" w:eastAsia="宋体"/>
          <w:b w:val="0"/>
          <w:i w:val="0"/>
          <w:sz w:val="24"/>
        </w:rPr>
        <w:t>1. 原纲目壹之一详列法理救赎的五项客观成果（赦罪、洗罪、称义、和好、地位圣别），龙骨中法理一面仅存一句概括。</w:t>
      </w:r>
    </w:p>
    <w:p>
      <w:pPr>
        <w:spacing w:after="120" w:line="360" w:lineRule="auto"/>
        <w:ind w:firstLine="0"/>
      </w:pPr>
      <w:r>
        <w:rPr>
          <w:rFonts w:ascii="宋体" w:hAnsi="宋体" w:eastAsia="宋体"/>
          <w:b w:val="0"/>
          <w:i w:val="0"/>
          <w:sz w:val="24"/>
        </w:rPr>
        <w:t>2. 原纲目叁部整段以「那灵同我们的灵」逐步展开八条，并有「凭灵而行」「彼此牧养建造身体」等实行与团体内容，龙骨仅以末句一笔带过。</w:t>
      </w:r>
    </w:p>
    <w:p>
      <w:pPr>
        <w:spacing w:after="120" w:line="360" w:lineRule="auto"/>
        <w:ind w:firstLine="0"/>
      </w:pPr>
      <w:r>
        <w:rPr>
          <w:rFonts w:ascii="宋体" w:hAnsi="宋体" w:eastAsia="宋体"/>
          <w:b w:val="0"/>
          <w:i w:val="0"/>
          <w:sz w:val="24"/>
        </w:rPr>
        <w:t>3. 原纲目多处指向新耶路撒冷为终极完成，龙骨的收束点未及此。</w:t>
      </w:r>
    </w:p>
    <w:p>
      <w:pPr>
        <w:spacing w:after="120" w:line="360" w:lineRule="auto" w:before="160"/>
        <w:ind w:firstLine="0"/>
      </w:pPr>
      <w:r>
        <w:rPr>
          <w:rFonts w:ascii="黑体" w:hAnsi="黑体" w:eastAsia="黑体"/>
          <w:b/>
          <w:sz w:val="24"/>
        </w:rPr>
        <w:t>三、综合评价</w:t>
      </w:r>
    </w:p>
    <w:p>
      <w:pPr>
        <w:spacing w:after="120" w:line="360" w:lineRule="auto"/>
        <w:ind w:firstLine="0"/>
      </w:pPr>
      <w:r>
        <w:rPr>
          <w:rFonts w:ascii="宋体" w:hAnsi="宋体" w:eastAsia="宋体"/>
          <w:b w:val="0"/>
          <w:i w:val="0"/>
          <w:sz w:val="24"/>
        </w:rPr>
        <w:t>整体框架立得住，逻辑线清楚，但条目切分粗细不均、后段坍缩明显，建议将第五条拆开并补出团体与实行的落点后再用。</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