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20" w:after="320" w:line="300" w:lineRule="auto"/>
        <w:jc w:val="center"/>
      </w:pPr>
      <w:r>
        <w:rPr>
          <w:rFonts w:ascii="黑体" w:hAnsi="黑体" w:eastAsia="黑体"/>
          <w:b/>
          <w:sz w:val="32"/>
        </w:rPr>
        <w:t>第一篇　基督徒生活的内在意义</w:t>
      </w:r>
    </w:p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一、负担说明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基督徒生活的内在意义，乃是活基督，而活基督的路就是爱祂到极点，将我们全人专注于祂，如约十四章二十一、二十三节所说，使我们蒙父和子所爱，享受子的显现与父子的眷临。过基督徒的生活，就是凡事在基督的人位面前行；林后四章六至七节说这无价之宝乃在瓦器里，我们注视祂所是的标示，就在观看中被变化成祂的形像。行事为人当与所蒙的呼召相配，凭变化过的人性美德保守那灵的一，在一切事上长到元首基督里面，照那在耶稣身上是实际者学基督，活在爱和光中，被圣灵充满满溢基督。我们也当接受圣灵的管治，让神把我们从这器皿倒在那器皿里，打破外面的人这玉瓶，使里面基督纯净的馨香得以散发，叫神的生命借着我们得释放并得彰显。</w:t>
      </w:r>
    </w:p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二、生成的龙骨</w:t>
      </w:r>
    </w:p>
    <w:tbl>
      <w:tblPr>
        <w:tblStyle w:val="TableGrid"/>
        <w:tblW w:type="dxa" w:w="9865"/>
        <w:jc w:val="center"/>
        <w:tblLayout w:type="fixed"/>
        <w:tblLook w:firstColumn="1" w:firstRow="1" w:lastColumn="0" w:lastRow="0" w:noHBand="0" w:noVBand="1" w:val="04A0"/>
      </w:tblPr>
      <w:tblGrid>
        <w:gridCol w:w="1701"/>
        <w:gridCol w:w="8164"/>
      </w:tblGrid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shd w:fill="D9D9D9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编号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  <w:shd w:fill="D9D9D9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黑体" w:hAnsi="黑体" w:eastAsia="黑体"/>
                <w:b/>
                <w:sz w:val="22"/>
              </w:rPr>
              <w:t>内容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CE4EC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①主观经历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CE4EC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基督徒生活的内在意义，乃是活基督，而活基督的路就是爱祂到极点，将我们全人专注于祂，如约十四章二十一、二十三节所说，使我们蒙父和子所爱，享受子的显现与父子的眷临。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4DFEC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②真理启示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E4DFEC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过基督徒的生活，就是凡事在基督的人位面前行；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D9E2F3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③圣经根据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D9E2F3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林后四章六至七节说这无价之宝乃在瓦器里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FF2CC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④应用实行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FF2CC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我们注视祂所是的标示，就在观看中被变化成祂的形像。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FF2CC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⑤应用实行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FF2CC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行事为人当与所蒙的呼召相配，凭变化过的人性美德保守那灵的一，在一切事上长到元首基督里面，照那在耶稣身上是实际者学基督，活在爱和光中，被圣灵充满满溢基督。</w:t>
            </w:r>
          </w:p>
        </w:tc>
      </w:tr>
      <w:tr>
        <w:tc>
          <w:tcPr>
            <w:tcW w:type="dxa" w:w="1701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FF2CC" w:val="clear"/>
          </w:tcPr>
          <w:p>
            <w:pPr>
              <w:spacing w:after="40" w:before="40" w:line="276" w:lineRule="auto"/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⑥应用实行</w:t>
            </w:r>
          </w:p>
        </w:tc>
        <w:tc>
          <w:tcPr>
            <w:tcW w:type="dxa" w:w="8164"/>
            <w:tcMar>
              <w:top w:w="80" w:type="dxa"/>
              <w:left w:w="80" w:type="dxa"/>
              <w:bottom w:w="80" w:type="dxa"/>
              <w:right w:w="80" w:type="dxa"/>
            </w:tcMar>
            <w:vAlign w:val="top"/>
            <w:shd w:fill="FFF2CC" w:val="clear"/>
          </w:tcPr>
          <w:p>
            <w:pPr>
              <w:spacing w:after="40" w:before="40" w:line="276" w:lineRule="auto"/>
            </w:pPr>
            <w:r/>
            <w:r>
              <w:rPr>
                <w:rFonts w:ascii="宋体" w:hAnsi="宋体" w:eastAsia="宋体"/>
                <w:b w:val="0"/>
                <w:sz w:val="21"/>
              </w:rPr>
              <w:t>我们也当接受圣灵的管治，让神把我们从这器皿倒在那器皿里，打破外面的人这玉瓶，使里面基督纯净的馨香得以散发，叫神的生命借着我们得释放并得彰显。</w:t>
            </w:r>
          </w:p>
        </w:tc>
      </w:tr>
    </w:tbl>
    <w:p>
      <w:pPr>
        <w:spacing w:before="280" w:after="120" w:line="300" w:lineRule="auto"/>
      </w:pPr>
      <w:r>
        <w:rPr>
          <w:rFonts w:ascii="黑体" w:hAnsi="黑体" w:eastAsia="黑体"/>
          <w:b/>
          <w:sz w:val="28"/>
        </w:rPr>
        <w:t>三、龙骨评价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一、逐项评价六阶段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圣经根据：仅取林后四6~7"宝贝在瓦器里"一处。这处经文本身极有分量，是贰大点的根基，但在骨架中只作一句意象复述，没有带出"瓦器/宝贝"的对比张力，略显单薄，撑一个大点稍嫌吃力。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真理启示：只有"凡事在基督的人位面前行"一句，界定清楚、语气干净，但止于一句定义，没有进一步说明"面"是内在思想感觉的标示、是全人的表明，真理的深度未被展开，点到为止。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主观经历：置于首位，以"蒙父和子所爱、享受子的显现与父子的眷临"作落点，题旨确实是本篇的核心，读来有味道。但它同时承担了"活基督""爱祂到极点"的界定功能，经历的成分反而被压在句尾，真切感不足，更像开篇的总纲而非一段真实的里面光景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团体建造：未出现。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应用实行：连出三条，量偏重。第四条"注视—观看—被变化"路径清楚可行；第五条是五项并列的清单，逐项都只是标题式的复述（保守那灵的一、长到元首里面、学基督、活在爱和光中），没有一条交代怎么做，实行性偏弱；第六条"倒器皿、打破玉瓶"意象鲜明，力度最强。三条之间是"观看—行事为人—受管治"的推进，勉强成层次，但中间一条明显掉力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确定目标：未出现。第六条末尾"叫神的生命借着我们得释放并得彰显"其实已具收束力度，被吸收进应用实行，全篇缺一个真正推向顶点的句子，读完有意犹未尽、戛然而止之感。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总体：推进大致顺畅（活基督—在祂面前行—行事为人相配—受管治），但重心过度倾向应用实行，真理与目标两端偏轻，不像一份可直接使用的完整骨架。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二、与原纲目的差异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1. 原纲目壹大点第五条有"以神自己作为我们的爱来爱神并彼此相爱"的团体一面，叁大点亦反复落在"基督身体的实际""一个新人""团体的杰作"，骨架完全未体现团体这一层。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2. 原纲目肆大点第五条专论"不能被破碎的两个原因"（活在黑暗里、太自爱），是消极对付的重要内容，骨架中无对应。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3. 原纲目贰大点第六条"直到那日我们必要像祂"的终极指向，在骨架中未被立为收束点。</w:t>
      </w:r>
    </w:p>
    <w:p>
      <w:pPr>
        <w:spacing w:after="120" w:line="360" w:lineRule="auto" w:before="160"/>
        <w:ind w:firstLine="0"/>
      </w:pPr>
      <w:r>
        <w:rPr>
          <w:rFonts w:ascii="黑体" w:hAnsi="黑体" w:eastAsia="黑体"/>
          <w:b/>
          <w:sz w:val="24"/>
        </w:rPr>
        <w:t>三、综合评价</w:t>
      </w:r>
    </w:p>
    <w:p>
      <w:pPr>
        <w:spacing w:after="120" w:line="360" w:lineRule="auto"/>
        <w:ind w:firstLine="0"/>
      </w:pPr>
      <w:r>
        <w:rPr>
          <w:rFonts w:ascii="宋体" w:hAnsi="宋体" w:eastAsia="宋体"/>
          <w:b w:val="0"/>
          <w:i w:val="0"/>
          <w:sz w:val="24"/>
        </w:rPr>
        <w:t>整体结构站得住，顺序合乎原纲目脉络，但阶段分布失衡——应用实行三占其半且中段空泛，团体建造与确定目标双缺，末句的收束力度被误并入实行。建议重新检视末段归属并补强真理一端。</w:t>
      </w:r>
    </w:p>
    <w:sectPr w:rsidR="00FC693F" w:rsidRPr="0006063C" w:rsidSect="00034616">
      <w:pgSz w:w="12240" w:h="15840"/>
      <w:pgMar w:top="1134" w:right="1020" w:bottom="113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