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20"/>
        <w:jc w:val="center"/>
      </w:pPr>
      <w:r>
        <w:rPr>
          <w:rFonts w:ascii="맑은 고딕" w:hAnsi="맑은 고딕"/>
          <w:b/>
          <w:color w:val="76B900"/>
          <w:sz w:val="56"/>
        </w:rPr>
        <w:t>NVIDIA NPN</w:t>
      </w:r>
    </w:p>
    <w:p>
      <w:pPr>
        <w:spacing w:after="80"/>
        <w:jc w:val="center"/>
      </w:pPr>
      <w:r>
        <w:rPr>
          <w:rFonts w:ascii="맑은 고딕" w:hAnsi="맑은 고딕"/>
          <w:b/>
          <w:color w:val="333333"/>
          <w:sz w:val="44"/>
        </w:rPr>
        <w:t>파트너 관리 기획서</w:t>
      </w:r>
    </w:p>
    <w:p>
      <w:pPr>
        <w:spacing w:before="80" w:after="80"/>
        <w:jc w:val="center"/>
        <w:pBdr>
          <w:bottom w:val="single" w:sz="12" w:space="1" w:color="76B900"/>
        </w:pBdr>
      </w:pPr>
    </w:p>
    <w:p/>
    <w:p>
      <w:pPr>
        <w:spacing w:before="40" w:after="40"/>
        <w:jc w:val="center"/>
      </w:pPr>
      <w:r>
        <w:rPr>
          <w:rFonts w:ascii="맑은 고딕" w:hAnsi="맑은 고딕"/>
          <w:b/>
          <w:color w:val="333333"/>
          <w:sz w:val="20"/>
        </w:rPr>
        <w:t xml:space="preserve">작성일: </w:t>
      </w:r>
      <w:r>
        <w:rPr>
          <w:rFonts w:ascii="맑은 고딕" w:hAnsi="맑은 고딕"/>
          <w:color w:val="333333"/>
          <w:sz w:val="20"/>
        </w:rPr>
        <w:t>2026-05-09</w:t>
      </w:r>
    </w:p>
    <w:p>
      <w:pPr>
        <w:spacing w:before="40" w:after="40"/>
        <w:jc w:val="center"/>
      </w:pPr>
      <w:r>
        <w:rPr>
          <w:rFonts w:ascii="맑은 고딕" w:hAnsi="맑은 고딕"/>
          <w:b/>
          <w:color w:val="333333"/>
          <w:sz w:val="20"/>
        </w:rPr>
        <w:t xml:space="preserve">버전: </w:t>
      </w:r>
      <w:r>
        <w:rPr>
          <w:rFonts w:ascii="맑은 고딕" w:hAnsi="맑은 고딕"/>
          <w:color w:val="333333"/>
          <w:sz w:val="20"/>
        </w:rPr>
        <w:t>v2.0</w:t>
      </w:r>
    </w:p>
    <w:p>
      <w:pPr>
        <w:spacing w:before="40" w:after="40"/>
        <w:jc w:val="center"/>
      </w:pPr>
      <w:r>
        <w:rPr>
          <w:rFonts w:ascii="맑은 고딕" w:hAnsi="맑은 고딕"/>
          <w:b/>
          <w:color w:val="333333"/>
          <w:sz w:val="20"/>
        </w:rPr>
        <w:t xml:space="preserve">적용 범위: </w:t>
      </w:r>
      <w:r>
        <w:rPr>
          <w:rFonts w:ascii="맑은 고딕" w:hAnsi="맑은 고딕"/>
          <w:color w:val="333333"/>
          <w:sz w:val="20"/>
        </w:rPr>
        <w:t>한국 NPN 전체 — SP / SA / Distributor</w:t>
      </w:r>
    </w:p>
    <w:p>
      <w:pPr>
        <w:spacing w:before="40" w:after="40"/>
        <w:jc w:val="center"/>
      </w:pPr>
      <w:r>
        <w:rPr>
          <w:rFonts w:ascii="맑은 고딕" w:hAnsi="맑은 고딕"/>
          <w:b/>
          <w:color w:val="333333"/>
          <w:sz w:val="20"/>
        </w:rPr>
        <w:t xml:space="preserve">활용 목적: </w:t>
      </w:r>
      <w:r>
        <w:rPr>
          <w:rFonts w:ascii="맑은 고딕" w:hAnsi="맑은 고딕"/>
          <w:color w:val="333333"/>
          <w:sz w:val="20"/>
        </w:rPr>
        <w:t>내부 전략·운영 / 파트너 QBR 공유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맑은 고딕" w:hAnsi="맑은 고딕"/>
          <w:color w:val="76B900"/>
          <w:sz w:val="36"/>
        </w:rPr>
        <w:t>NVIDIA NPN 파트너 관리 기획서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**작성일**: 2026-05-09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**문서 버전**: v2.0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**적용 범위**: 한국 NPN(NVIDIA Partner Network) 전체 — SP / SA / Distributor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**활용 목적**: 내부 전략·운영 / 파트너 QBR 공유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맑은 고딕" w:hAnsi="맑은 고딕"/>
          <w:color w:val="1A1A2E"/>
          <w:sz w:val="28"/>
        </w:rPr>
        <w:t>문서 구조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├── Part 1. 포트폴리오 전체 요약        ← 경영진 보고 / 전략 검토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│   ├── 1.1 파트너 현황 스냅샷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│   ├── 1.2 Competency × Level 전체 매트릭스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│   ├── 1.3 FY별 Competency 매출 요약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│   └── 1.4 경쟁력 포지셔닝 맵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│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├── Part 2. 분석 프레임워크             ← 기준·방법론 정의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│   ├── 2.1 파트너 분류 기준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│   ├── 2.2 매출 분석 KPI 정의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│   └── 2.3 경쟁력 평가 모델 (PCS)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│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└── Part 3. 파트너별 상세 프로파일      ← QBR / 파트너 공유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  └── [블록 A] 기본 정보 &amp; Competency 매핑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      [블록 B] FY별 Competency별 매출 분석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      [블록 C] 경쟁력 분석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      [블록 D] 액션 플랜</w:t>
      </w:r>
    </w:p>
    <w:p/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240" w:after="80"/>
      </w:pPr>
      <w:r>
        <w:rPr>
          <w:rFonts w:ascii="맑은 고딕" w:hAnsi="맑은 고딕"/>
          <w:color w:val="76B900"/>
          <w:sz w:val="36"/>
        </w:rPr>
        <w:t>Part 1. 포트폴리오 전체 요약</w:t>
      </w:r>
    </w:p>
    <w:p>
      <w:pPr>
        <w:pStyle w:val="Heading2"/>
        <w:spacing w:before="240" w:after="80"/>
      </w:pPr>
      <w:r>
        <w:rPr>
          <w:rFonts w:ascii="맑은 고딕" w:hAnsi="맑은 고딕"/>
          <w:color w:val="1A1A2E"/>
          <w:sz w:val="28"/>
        </w:rPr>
        <w:t>1.1 파트너 현황 스냅샷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기준일: YYYY-MM-DD (NPN Portal 최신 스냅샷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460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SP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SA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Distributor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합계</w:t>
            </w:r>
          </w:p>
        </w:tc>
      </w:tr>
      <w:tr>
        <w:tc>
          <w:tcPr>
            <w:tcW w:type="dxa" w:w="246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**Elite**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46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**Preferred**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46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**Registered**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46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**합계**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0" w:after="40"/>
      </w:pPr>
      <w:r>
        <w:rPr>
          <w:rFonts w:ascii="맑은 고딕" w:hAnsi="맑은 고딕"/>
          <w:b/>
          <w:sz w:val="20"/>
        </w:rPr>
        <w:t>주요 변동 사항 (FY26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076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파트너명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시점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신규 진입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Tier-up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(예: Registered → Preferred)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Tier-down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이탈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20" w:after="40"/>
      </w:pPr>
      <w:r>
        <w:rPr>
          <w:rFonts w:ascii="맑은 고딕" w:hAnsi="맑은 고딕"/>
          <w:b/>
          <w:sz w:val="20"/>
        </w:rPr>
        <w:t>포트폴리오 요약 인사이트</w:t>
      </w:r>
    </w:p>
    <w:p>
      <w:pPr>
        <w:pStyle w:val="ListBullet"/>
        <w:spacing w:before="20" w:after="40"/>
      </w:pPr>
      <w:r>
        <w:rPr>
          <w:rFonts w:ascii="맑은 고딕" w:hAnsi="맑은 고딕"/>
          <w:b w:val="0"/>
          <w:sz w:val="20"/>
        </w:rPr>
        <w:t xml:space="preserve">전체 파트너 수: </w:t>
      </w:r>
      <w:r>
        <w:rPr>
          <w:rFonts w:ascii="맑은 고딕" w:hAnsi="맑은 고딕"/>
          <w:b/>
          <w:sz w:val="20"/>
        </w:rPr>
        <w:t>N개</w:t>
      </w:r>
      <w:r>
        <w:rPr>
          <w:rFonts w:ascii="맑은 고딕" w:hAnsi="맑은 고딕"/>
          <w:b w:val="0"/>
          <w:sz w:val="20"/>
        </w:rPr>
        <w:t xml:space="preserve"> (SP N / SA N / Distributor N)</w:t>
      </w:r>
    </w:p>
    <w:p>
      <w:pPr>
        <w:pStyle w:val="ListBullet"/>
        <w:spacing w:before="20" w:after="40"/>
      </w:pPr>
      <w:r>
        <w:rPr>
          <w:rFonts w:ascii="맑은 고딕" w:hAnsi="맑은 고딕"/>
          <w:b w:val="0"/>
          <w:sz w:val="20"/>
        </w:rPr>
        <w:t xml:space="preserve">Elite 비중: </w:t>
      </w:r>
      <w:r>
        <w:rPr>
          <w:rFonts w:ascii="맑은 고딕" w:hAnsi="맑은 고딕"/>
          <w:b/>
          <w:sz w:val="20"/>
        </w:rPr>
        <w:t>N%</w:t>
      </w:r>
      <w:r>
        <w:rPr>
          <w:rFonts w:ascii="맑은 고딕" w:hAnsi="맑은 고딕"/>
          <w:b w:val="0"/>
          <w:sz w:val="20"/>
        </w:rPr>
        <w:t xml:space="preserve"> (전체 파트너 대비)</w:t>
      </w:r>
    </w:p>
    <w:p>
      <w:pPr>
        <w:pStyle w:val="ListBullet"/>
        <w:spacing w:before="20" w:after="40"/>
      </w:pPr>
      <w:r>
        <w:rPr>
          <w:rFonts w:ascii="맑은 고딕" w:hAnsi="맑은 고딕"/>
          <w:b w:val="0"/>
          <w:sz w:val="20"/>
        </w:rPr>
        <w:t xml:space="preserve">전체 FY26 매출: </w:t>
      </w:r>
      <w:r>
        <w:rPr>
          <w:rFonts w:ascii="맑은 고딕" w:hAnsi="맑은 고딕"/>
          <w:b/>
          <w:sz w:val="20"/>
        </w:rPr>
        <w:t>$XM</w:t>
      </w:r>
      <w:r>
        <w:rPr>
          <w:rFonts w:ascii="맑은 고딕" w:hAnsi="맑은 고딕"/>
          <w:b w:val="0"/>
          <w:sz w:val="20"/>
        </w:rPr>
        <w:t xml:space="preserve"> (YoY </w:t>
      </w:r>
      <w:r>
        <w:rPr>
          <w:rFonts w:ascii="맑은 고딕" w:hAnsi="맑은 고딕"/>
          <w:b/>
          <w:sz w:val="20"/>
        </w:rPr>
        <w:t>+X.X%</w:t>
      </w:r>
      <w:r>
        <w:rPr>
          <w:rFonts w:ascii="맑은 고딕" w:hAnsi="맑은 고딕"/>
          <w:b w:val="0"/>
          <w:sz w:val="20"/>
        </w:rPr>
        <w:t>)</w:t>
      </w:r>
    </w:p>
    <w:p>
      <w:pPr>
        <w:pStyle w:val="ListBullet"/>
        <w:spacing w:before="20" w:after="40"/>
      </w:pPr>
      <w:r>
        <w:rPr>
          <w:rFonts w:ascii="맑은 고딕" w:hAnsi="맑은 고딕"/>
          <w:b w:val="0"/>
          <w:sz w:val="20"/>
        </w:rPr>
        <w:t>주요 성장 동력: *(예: AI-COMP 수요 급증, Distributor 채널 확장 등)*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맑은 고딕" w:hAnsi="맑은 고딕"/>
          <w:color w:val="1A1A2E"/>
          <w:sz w:val="28"/>
        </w:rPr>
        <w:t>1.2 Competency × Level 전체 매트릭스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★★★ Elite / ★★ Preferred / ★ Registered / — 미보유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Type별로 그룹핑 (SP → SA → Distributor 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1118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76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파트너명</w:t>
            </w:r>
          </w:p>
        </w:tc>
        <w:tc>
          <w:tcPr>
            <w:tcW w:type="dxa" w:w="76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76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AI-COMP</w:t>
            </w:r>
          </w:p>
        </w:tc>
        <w:tc>
          <w:tcPr>
            <w:tcW w:type="dxa" w:w="76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AI-ENT</w:t>
            </w:r>
          </w:p>
        </w:tc>
        <w:tc>
          <w:tcPr>
            <w:tcW w:type="dxa" w:w="76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DC-COMP</w:t>
            </w:r>
          </w:p>
        </w:tc>
        <w:tc>
          <w:tcPr>
            <w:tcW w:type="dxa" w:w="76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76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VIZ</w:t>
            </w:r>
          </w:p>
        </w:tc>
        <w:tc>
          <w:tcPr>
            <w:tcW w:type="dxa" w:w="76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VIRT</w:t>
            </w:r>
          </w:p>
        </w:tc>
        <w:tc>
          <w:tcPr>
            <w:tcW w:type="dxa" w:w="76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EDGE</w:t>
            </w:r>
          </w:p>
        </w:tc>
        <w:tc>
          <w:tcPr>
            <w:tcW w:type="dxa" w:w="76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AUTO</w:t>
            </w:r>
          </w:p>
        </w:tc>
      </w:tr>
      <w:tr>
        <w:tc>
          <w:tcPr>
            <w:tcW w:type="dxa" w:w="111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Partner A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SP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★★★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★★★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11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Partner B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SP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★★★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11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Partner C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SA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★★★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11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Partner D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Distributor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★★★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★★★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★★★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★★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★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11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</w:tr>
      <w:tr>
        <w:tc>
          <w:tcPr>
            <w:tcW w:type="dxa" w:w="111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**보유 파트너 수**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7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11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**Elite 비중**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7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</w:tr>
    </w:tbl>
    <w:p/>
    <w:p>
      <w:pPr>
        <w:spacing w:before="20" w:after="40"/>
      </w:pPr>
      <w:r>
        <w:rPr>
          <w:rFonts w:ascii="맑은 고딕" w:hAnsi="맑은 고딕"/>
          <w:b/>
          <w:sz w:val="20"/>
        </w:rPr>
        <w:t>매트릭스 인사이트</w:t>
      </w:r>
    </w:p>
    <w:p>
      <w:pPr>
        <w:pStyle w:val="ListBullet"/>
        <w:spacing w:before="20" w:after="40"/>
      </w:pPr>
      <w:r>
        <w:rPr>
          <w:rFonts w:ascii="맑은 고딕" w:hAnsi="맑은 고딕"/>
          <w:b w:val="0"/>
          <w:sz w:val="20"/>
        </w:rPr>
        <w:t>가장 많은 파트너가 보유한 Competency: *(예: AI-COMP — N개 파트너)*</w:t>
      </w:r>
    </w:p>
    <w:p>
      <w:pPr>
        <w:pStyle w:val="ListBullet"/>
        <w:spacing w:before="20" w:after="40"/>
      </w:pPr>
      <w:r>
        <w:rPr>
          <w:rFonts w:ascii="맑은 고딕" w:hAnsi="맑은 고딕"/>
          <w:b w:val="0"/>
          <w:sz w:val="20"/>
        </w:rPr>
        <w:t>Elite 집중 Competency: *(예: DC-COMP)*</w:t>
      </w:r>
    </w:p>
    <w:p>
      <w:pPr>
        <w:pStyle w:val="ListBullet"/>
        <w:spacing w:before="20" w:after="40"/>
      </w:pPr>
      <w:r>
        <w:rPr>
          <w:rFonts w:ascii="맑은 고딕" w:hAnsi="맑은 고딕"/>
          <w:b w:val="0"/>
          <w:sz w:val="20"/>
        </w:rPr>
        <w:t>보유 파트너 수 최저 Competency: *(예: AUTO — N개)*</w:t>
      </w:r>
    </w:p>
    <w:p>
      <w:pPr>
        <w:pStyle w:val="ListBullet"/>
        <w:spacing w:before="20" w:after="40"/>
      </w:pPr>
      <w:r>
        <w:rPr>
          <w:rFonts w:ascii="맑은 고딕" w:hAnsi="맑은 고딕"/>
          <w:b w:val="0"/>
          <w:sz w:val="20"/>
        </w:rPr>
        <w:t>Competency 미보유 공백 영역: *(예: AUTO, EDGE → 신규 파트너 발굴 필요)*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맑은 고딕" w:hAnsi="맑은 고딕"/>
          <w:color w:val="1A1A2E"/>
          <w:sz w:val="28"/>
        </w:rPr>
        <w:t>1.3 FY별 Competency 매출 요약</w:t>
      </w:r>
    </w:p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전체 FY별 매출 추이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050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FY24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FY25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FY26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CAGR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FY26 Mix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AI-COMP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AI-ENT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DC-COMP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NETWORK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VIZ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VIRT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EDGE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AUTO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$XM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X%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**합계**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**$XM**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**$XM**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**$XM**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**X%**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**100%**</w:t>
            </w:r>
          </w:p>
        </w:tc>
      </w:tr>
    </w:tbl>
    <w:p/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파트너 × Competency 매출 히트맵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색농도 기준: ██ $10M+ / ▓▓ $5~10M / ░░ $1~5M / — $1M 미만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36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파트너명</w:t>
            </w:r>
          </w:p>
        </w:tc>
        <w:tc>
          <w:tcPr>
            <w:tcW w:type="dxa" w:w="928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AI-COMP</w:t>
            </w:r>
          </w:p>
        </w:tc>
        <w:tc>
          <w:tcPr>
            <w:tcW w:type="dxa" w:w="928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AI-ENT</w:t>
            </w:r>
          </w:p>
        </w:tc>
        <w:tc>
          <w:tcPr>
            <w:tcW w:type="dxa" w:w="928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DC-COMP</w:t>
            </w:r>
          </w:p>
        </w:tc>
        <w:tc>
          <w:tcPr>
            <w:tcW w:type="dxa" w:w="928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928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VIZ</w:t>
            </w:r>
          </w:p>
        </w:tc>
        <w:tc>
          <w:tcPr>
            <w:tcW w:type="dxa" w:w="928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VIRT</w:t>
            </w:r>
          </w:p>
        </w:tc>
        <w:tc>
          <w:tcPr>
            <w:tcW w:type="dxa" w:w="928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EDGE</w:t>
            </w:r>
          </w:p>
        </w:tc>
        <w:tc>
          <w:tcPr>
            <w:tcW w:type="dxa" w:w="928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AUTO</w:t>
            </w:r>
          </w:p>
        </w:tc>
      </w:tr>
      <w:tr>
        <w:tc>
          <w:tcPr>
            <w:tcW w:type="dxa" w:w="13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Partner A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██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▓▓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░░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░░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3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Partner B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▓▓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░░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██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░░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▓▓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3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Partner C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░░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▓▓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██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░░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36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Partner D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██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██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██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▓▓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▓▓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░░</w:t>
            </w:r>
          </w:p>
        </w:tc>
        <w:tc>
          <w:tcPr>
            <w:tcW w:type="dxa" w:w="928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36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928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</w:tr>
    </w:tbl>
    <w:p/>
    <w:p>
      <w:pPr>
        <w:spacing w:before="20" w:after="40"/>
      </w:pPr>
      <w:r>
        <w:rPr>
          <w:rFonts w:ascii="맑은 고딕" w:hAnsi="맑은 고딕"/>
          <w:b/>
          <w:sz w:val="20"/>
        </w:rPr>
        <w:t>Top 3 인사이트</w:t>
      </w:r>
    </w:p>
    <w:p>
      <w:pPr>
        <w:pStyle w:val="ListNumber"/>
        <w:spacing w:before="20" w:after="40"/>
      </w:pPr>
      <w:r>
        <w:rPr>
          <w:rFonts w:ascii="맑은 고딕" w:hAnsi="맑은 고딕"/>
          <w:b w:val="0"/>
          <w:sz w:val="20"/>
        </w:rPr>
        <w:t>*(예: AI-COMP가 전체 매출의 XX%를 차지하며 3년간 CAGR XX% 성장)*</w:t>
      </w:r>
    </w:p>
    <w:p>
      <w:pPr>
        <w:pStyle w:val="ListNumber"/>
        <w:spacing w:before="20" w:after="40"/>
      </w:pPr>
      <w:r>
        <w:rPr>
          <w:rFonts w:ascii="맑은 고딕" w:hAnsi="맑은 고딕"/>
          <w:b w:val="0"/>
          <w:sz w:val="20"/>
        </w:rPr>
        <w:t>*(예: NETWORK는 Distributor 중심으로 매출이 집중, SP 참여 저조)*</w:t>
      </w:r>
    </w:p>
    <w:p>
      <w:pPr>
        <w:pStyle w:val="ListNumber"/>
        <w:spacing w:before="20" w:after="40"/>
      </w:pPr>
      <w:r>
        <w:rPr>
          <w:rFonts w:ascii="맑은 고딕" w:hAnsi="맑은 고딕"/>
          <w:b w:val="0"/>
          <w:sz w:val="20"/>
        </w:rPr>
        <w:t>*(예: VIZ는 YoY 역성장 — 시장 수요 변화 또는 인력 이탈 가능성 점검 필요)*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맑은 고딕" w:hAnsi="맑은 고딕"/>
          <w:color w:val="1A1A2E"/>
          <w:sz w:val="28"/>
        </w:rPr>
        <w:t>1.4 경쟁력 포지셔닝 맵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X축: Competency Coverage Score (C1 점수) | Y축: Revenue Performance Score (C2 점수)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Revenue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Performance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(C2)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5 │                    │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  │   [Specialist]     │        [Star]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4 │   좁은 역량 +       │   넓은 역량 +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  │   높은 매출         │   높은 매출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3 ├────────────────────┼────────────────────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  │   [Emerging]       │   [Wide-Underperform]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2 │   좁은 역량 +       │   넓은 역량 +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  │   낮은 매출         │   낮은 매출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1 │                    │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  └────────────────────┴────────────────────→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       1    2    3    4    5   Competency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 xml:space="preserve">                                Coverage (C1)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101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사분면</w:t>
            </w:r>
          </w:p>
        </w:tc>
        <w:tc>
          <w:tcPr>
            <w:tcW w:type="dxa" w:w="2343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해당 파트너</w:t>
            </w:r>
          </w:p>
        </w:tc>
        <w:tc>
          <w:tcPr>
            <w:tcW w:type="dxa" w:w="2343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전략 방향</w:t>
            </w:r>
          </w:p>
        </w:tc>
      </w:tr>
      <w:tr>
        <w:tc>
          <w:tcPr>
            <w:tcW w:type="dxa" w:w="4101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**Star** (4사분면 우상단)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Partner A, Partner D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전략적 공동 GTM, Co-sell 우선 투자</w:t>
            </w:r>
          </w:p>
        </w:tc>
      </w:tr>
      <w:tr>
        <w:tc>
          <w:tcPr>
            <w:tcW w:type="dxa" w:w="4101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**Specialist** (2사분면 좌상단)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Partner B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강점 Competency 심화, 인접 Comp 확장 유도</w:t>
            </w:r>
          </w:p>
        </w:tc>
      </w:tr>
      <w:tr>
        <w:tc>
          <w:tcPr>
            <w:tcW w:type="dxa" w:w="4101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**Emerging** (3사분면 좌하단)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Partner E, Partner F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트레이닝 집중, Tier-up 로드맵 수립</w:t>
            </w:r>
          </w:p>
        </w:tc>
      </w:tr>
      <w:tr>
        <w:tc>
          <w:tcPr>
            <w:tcW w:type="dxa" w:w="4101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**Wide-Underperform** (4사분면 우하단)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Partner C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저성과 원인 진단, 활성화 플랜 수립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240" w:after="80"/>
      </w:pPr>
      <w:r>
        <w:rPr>
          <w:rFonts w:ascii="맑은 고딕" w:hAnsi="맑은 고딕"/>
          <w:color w:val="76B900"/>
          <w:sz w:val="36"/>
        </w:rPr>
        <w:t>Part 2. 분석 프레임워크</w:t>
      </w:r>
    </w:p>
    <w:p>
      <w:pPr>
        <w:pStyle w:val="Heading2"/>
        <w:spacing w:before="240" w:after="80"/>
      </w:pPr>
      <w:r>
        <w:rPr>
          <w:rFonts w:ascii="맑은 고딕" w:hAnsi="맑은 고딕"/>
          <w:color w:val="1A1A2E"/>
          <w:sz w:val="28"/>
        </w:rPr>
        <w:t>2.1 파트너 분류 기준</w:t>
      </w:r>
    </w:p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파트너 Type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076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역할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Transacting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**SP** (Solution Provider)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NVIDIA 솔루션을 직접 판매·구축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영업, 기술 컨설팅, 구축, 사후지원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**SA** (Solution Advisor)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컨설팅·자문 중심 파트너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솔루션 추천, 아키텍처 설계, SP 경유 Resell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**Distributor**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총판, SP/SA 공급망 관리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물류, 라이선스 공급, 채널 인에이블먼트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O</w:t>
            </w:r>
          </w:p>
        </w:tc>
      </w:tr>
    </w:tbl>
    <w:p/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Competency 8개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076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명칭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제품·솔루션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핵심 고객 세그먼트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**AI-COMP**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AI Computing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DGX, HGX, BasePOD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AI/ML 연구소, 클라우드 사업자, 대형 엔터프라이즈</w:t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**AI-ENT**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AI Enterprise SW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NVAIE, NIM, NeMo, Morpheus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엔터프라이즈 IT, ISV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**DC-COMP**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Data Center Computing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GPU 서버, HPC 클러스터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HPC, 연구기관, 금융, 제조</w:t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**NETWORK**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Networking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Spectrum-X, Quantum IB, BlueField DPU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하이퍼스케일, DC 사업자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**VIZ**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Visualization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RTX Pro, Omniverse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제조 디지털트윈, 미디어, 설계</w:t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**VIRT**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Virtual GPU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vGPU, NVIDIA AI Enterprise VDI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금융, 공공, 의료 VDI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**EDGE**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Edge Computing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Jetson, IGX Orin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제조 AI, 스마트시티, 물류</w:t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**AUTO**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Automotive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DRIVE Orin, DRIVE Thor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완성차, Tier-1 부품사</w:t>
            </w:r>
          </w:p>
        </w:tc>
      </w:tr>
    </w:tbl>
    <w:p/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Level 인정 기준 및 혜택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101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343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인정 조건 (예시)</w:t>
            </w:r>
          </w:p>
        </w:tc>
        <w:tc>
          <w:tcPr>
            <w:tcW w:type="dxa" w:w="2343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혜택</w:t>
            </w:r>
          </w:p>
        </w:tc>
      </w:tr>
      <w:tr>
        <w:tc>
          <w:tcPr>
            <w:tcW w:type="dxa" w:w="4101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**Elite**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인증 엔지니어 N명 이상 + 매출 상위 X% + Competency N개 이상 보유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MDF 최우선 배분, Co-sell 우선권, Exec Access, NFR 장비 지원</w:t>
            </w:r>
          </w:p>
        </w:tc>
      </w:tr>
      <w:tr>
        <w:tc>
          <w:tcPr>
            <w:tcW w:type="dxa" w:w="4101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**Preferred**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인증 엔지니어 N명 이상 + 핵심 Competency 보유 + 매출 기준 충족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MDF 지원, 기술 트레이닝 우선 배정, Demo 장비 지원</w:t>
            </w:r>
          </w:p>
        </w:tc>
      </w:tr>
      <w:tr>
        <w:tc>
          <w:tcPr>
            <w:tcW w:type="dxa" w:w="4101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**Registered**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NPN 기본 등록 + Competency 1개 이상 취득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카탈로그 접근, 기본 트레이닝, 파트너 포털 이용</w:t>
            </w:r>
          </w:p>
        </w:tc>
      </w:tr>
    </w:tbl>
    <w:p/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기준 수치(N, X%)는 NVIDIA 본사 NPN 정책에 따라 매년 Q1 갱신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맑은 고딕" w:hAnsi="맑은 고딕"/>
          <w:color w:val="1A1A2E"/>
          <w:sz w:val="28"/>
        </w:rPr>
        <w:t>2.2 매출 분석 KPI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101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343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정의 및 산식</w:t>
            </w:r>
          </w:p>
        </w:tc>
        <w:tc>
          <w:tcPr>
            <w:tcW w:type="dxa" w:w="2343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활용 목적</w:t>
            </w:r>
          </w:p>
        </w:tc>
      </w:tr>
      <w:tr>
        <w:tc>
          <w:tcPr>
            <w:tcW w:type="dxa" w:w="4101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**FY Revenue**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Fiscal Year 기준 Net Revenue (USD)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절대 규모 파악</w:t>
            </w:r>
          </w:p>
        </w:tc>
      </w:tr>
      <w:tr>
        <w:tc>
          <w:tcPr>
            <w:tcW w:type="dxa" w:w="4101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**Deal Count**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FY 내 클로즈된 Deal 수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영업 활동량 측정</w:t>
            </w:r>
          </w:p>
        </w:tc>
      </w:tr>
      <w:tr>
        <w:tc>
          <w:tcPr>
            <w:tcW w:type="dxa" w:w="4101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**YoY Growth Rate**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(FY(N) − FY(N-1)) / FY(N-1) × 100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단기 성장성</w:t>
            </w:r>
          </w:p>
        </w:tc>
      </w:tr>
      <w:tr>
        <w:tc>
          <w:tcPr>
            <w:tcW w:type="dxa" w:w="4101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**CAGR**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(FY마지막 / FY첫해)^(1/기간) − 1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중장기 성장 추세</w:t>
            </w:r>
          </w:p>
        </w:tc>
      </w:tr>
      <w:tr>
        <w:tc>
          <w:tcPr>
            <w:tcW w:type="dxa" w:w="4101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**Avg Deal Size**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FY Revenue / Deal Count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거래 대형화 추세</w:t>
            </w:r>
          </w:p>
        </w:tc>
      </w:tr>
      <w:tr>
        <w:tc>
          <w:tcPr>
            <w:tcW w:type="dxa" w:w="4101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**Competency Mix**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특정 Comp 매출 / 파트너 전체 매출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역량 편중 여부</w:t>
            </w:r>
          </w:p>
        </w:tc>
      </w:tr>
      <w:tr>
        <w:tc>
          <w:tcPr>
            <w:tcW w:type="dxa" w:w="4101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**HHI (매출 집중도)**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Σ(각 Comp 매출 비중²) — 1에 가까울수록 편중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포트폴리오 다각화 수준</w:t>
            </w:r>
          </w:p>
        </w:tc>
      </w:tr>
      <w:tr>
        <w:tc>
          <w:tcPr>
            <w:tcW w:type="dxa" w:w="4101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**Level-Revenue Alignment**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Level 분위 vs 매출 분위 차이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Level 등급 적정성 검증</w:t>
            </w:r>
          </w:p>
        </w:tc>
      </w:tr>
    </w:tbl>
    <w:p/>
    <w:p>
      <w:pPr>
        <w:spacing w:before="20" w:after="40"/>
      </w:pPr>
      <w:r>
        <w:rPr>
          <w:rFonts w:ascii="맑은 고딕" w:hAnsi="맑은 고딕"/>
          <w:b/>
          <w:sz w:val="20"/>
        </w:rPr>
        <w:t>분석 단위</w:t>
      </w:r>
      <w:r>
        <w:rPr>
          <w:rFonts w:ascii="맑은 고딕" w:hAnsi="맑은 고딕"/>
          <w:b w:val="0"/>
          <w:sz w:val="20"/>
        </w:rPr>
        <w:t>: 파트너 × Competency × FY × Quarter</w:t>
      </w:r>
    </w:p>
    <w:p>
      <w:pPr>
        <w:spacing w:before="20" w:after="40"/>
      </w:pPr>
      <w:r>
        <w:rPr>
          <w:rFonts w:ascii="맑은 고딕" w:hAnsi="맑은 고딕"/>
          <w:b/>
          <w:sz w:val="20"/>
        </w:rPr>
        <w:t>기준 통화</w:t>
      </w:r>
      <w:r>
        <w:rPr>
          <w:rFonts w:ascii="맑은 고딕" w:hAnsi="맑은 고딕"/>
          <w:b w:val="0"/>
          <w:sz w:val="20"/>
        </w:rPr>
        <w:t>: USD (환율 고정 기준 별도 명시)</w:t>
      </w:r>
    </w:p>
    <w:p>
      <w:pPr>
        <w:spacing w:before="20" w:after="40"/>
      </w:pPr>
      <w:r>
        <w:rPr>
          <w:rFonts w:ascii="맑은 고딕" w:hAnsi="맑은 고딕"/>
          <w:b/>
          <w:sz w:val="20"/>
        </w:rPr>
        <w:t>데이터 소스</w:t>
      </w:r>
      <w:r>
        <w:rPr>
          <w:rFonts w:ascii="맑은 고딕" w:hAnsi="맑은 고딕"/>
          <w:b w:val="0"/>
          <w:sz w:val="20"/>
        </w:rPr>
        <w:t>: NPN Portal + CRM (Salesforce) + ERP 매출 데이터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맑은 고딕" w:hAnsi="맑은 고딕"/>
          <w:color w:val="1A1A2E"/>
          <w:sz w:val="28"/>
        </w:rPr>
        <w:t>2.3 경쟁력 평가 모델 (PCS)</w:t>
      </w:r>
    </w:p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5축 평가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076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축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명칭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측정 지표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가중치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**C1**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Competency Coverage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보유 Competency 수, Elite 비중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20%</w:t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**C2**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Revenue Performance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FY 매출, YoY Growth, CAGR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30%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**C3**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Technical Capability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NCP/NCA 보유자 수, Demo Lab 유무, POC 수행 실적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20%</w:t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**C4**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Market Reach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산업·지역 커버리지, 신규 고객 수, 파이프라인 규모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15%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**C5**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Strategic Alignment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신제품 채택 속도, GTM 협업 빈도, NVIDIA 공동 마케팅 참여도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15%</w:t>
            </w:r>
          </w:p>
        </w:tc>
      </w:tr>
    </w:tbl>
    <w:p/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PCS 산식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PCS = 0.20 × C1 + 0.30 × C2 + 0.20 × C3 + 0.15 × C4 + 0.15 × C5</w:t>
      </w:r>
    </w:p>
    <w:p>
      <w:pPr>
        <w:spacing w:before="0" w:after="0"/>
        <w:ind w:left="283"/>
        <w:shd w:val="clear" w:color="auto" w:fill="EBEBEB"/>
      </w:pPr>
      <w:r>
        <w:rPr>
          <w:rFonts w:ascii="Courier New" w:hAnsi="Courier New"/>
          <w:color w:val="222222"/>
          <w:sz w:val="17"/>
        </w:rPr>
        <w:t>(각 축 1~5점 척도, 소수점 2자리 반올림)</w:t>
      </w:r>
    </w:p>
    <w:p/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PCS 등급 기준 및 전략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076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PCS 범위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명칭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전략 방향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4.0 이상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Strategic Partner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전략적 공동 GTM, 최우선 리소스 배분</w:t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3.0 ~ 3.9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Growth Partner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집중 육성·투자, Tier-up 로드맵 수립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B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2.0 ~ 2.9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Development Partner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역량 강화 프로그램, 트레이닝 집중</w:t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2.0 미만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Watch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저성과 원인 진단, 활성화 여부 결정</w:t>
            </w:r>
          </w:p>
        </w:tc>
      </w:tr>
    </w:tbl>
    <w:p/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점수 산정 기준 (1~5점)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050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점수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C1 Comp Coverage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C2 Revenue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C3 Technical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C4 Market Reach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C5 Strategic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Elite 3개 이상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그룹 상위 10%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NCP 5명+ / Lab 보유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5개 이상 산업 커버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분기 1회+ Co-GTM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Elite 2개 + Preferred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그룹 상위 25%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NCP 3~4명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3~4개 산업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반기 1회 Co-GTM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Elite 1개 + Preferred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그룹 중앙값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NCP 1~2명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2개 산업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연 1회 참여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Preferred 중심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그룹 하위 25%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인증자 없음 / 준비 중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1개 산업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비정기 참여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Registered만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그룹 하위 10%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해당 없음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특정 고객 한정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미참여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240" w:after="80"/>
      </w:pPr>
      <w:r>
        <w:rPr>
          <w:rFonts w:ascii="맑은 고딕" w:hAnsi="맑은 고딕"/>
          <w:color w:val="76B900"/>
          <w:sz w:val="36"/>
        </w:rPr>
        <w:t>Part 3. 파트너별 상세 프로파일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아래 템플릿을 파트너 수만큼 복제하여 사용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파트너 공유 시: 해당 파트너 프로파일 섹션만 발췌 배포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맑은 고딕" w:hAnsi="맑은 고딕"/>
          <w:color w:val="1A1A2E"/>
          <w:sz w:val="28"/>
        </w:rPr>
        <w:t>[Template] 파트너 프로파일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블록 A. 기본 정보 &amp; Competency 매핑</w:t>
      </w:r>
    </w:p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9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**파트너명**</w:t>
            </w:r>
          </w:p>
        </w:tc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**Type**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SP / SA / Distributor</w:t>
            </w:r>
          </w:p>
        </w:tc>
      </w:tr>
      <w:tr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**NPN Level**</w:t>
            </w:r>
          </w:p>
        </w:tc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Elite / Preferred / Registered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**본사 위치**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**설립연도**</w:t>
            </w:r>
          </w:p>
        </w:tc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**임직원 수**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**주요 산업 커버리지**</w:t>
            </w:r>
          </w:p>
        </w:tc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**담당 PAM**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**최근 NPN 갱신일**</w:t>
            </w:r>
          </w:p>
        </w:tc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Competency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460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인증 엔지니어 수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취득일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46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AI-COMP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46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AI-ENT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46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DC-COMP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46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NETWORK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46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VIZ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46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VIRT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46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EDGE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46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AUTO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20" w:after="40"/>
      </w:pPr>
      <w:r>
        <w:rPr>
          <w:rFonts w:ascii="맑은 고딕" w:hAnsi="맑은 고딕"/>
          <w:b/>
          <w:sz w:val="20"/>
        </w:rPr>
        <w:t>Competency 요약</w:t>
      </w:r>
    </w:p>
    <w:p>
      <w:pPr>
        <w:pStyle w:val="ListBullet"/>
        <w:spacing w:before="20" w:after="40"/>
      </w:pPr>
      <w:r>
        <w:rPr>
          <w:rFonts w:ascii="맑은 고딕" w:hAnsi="맑은 고딕"/>
          <w:b w:val="0"/>
          <w:sz w:val="20"/>
        </w:rPr>
        <w:t xml:space="preserve">보유 Competency 수: </w:t>
      </w:r>
      <w:r>
        <w:rPr>
          <w:rFonts w:ascii="맑은 고딕" w:hAnsi="맑은 고딕"/>
          <w:b/>
          <w:sz w:val="20"/>
        </w:rPr>
        <w:t>N개</w:t>
      </w:r>
      <w:r>
        <w:rPr>
          <w:rFonts w:ascii="맑은 고딕" w:hAnsi="맑은 고딕"/>
          <w:b w:val="0"/>
          <w:sz w:val="20"/>
        </w:rPr>
        <w:t xml:space="preserve"> (Elite N / Preferred N / Registered N)</w:t>
      </w:r>
    </w:p>
    <w:p>
      <w:pPr>
        <w:pStyle w:val="ListBullet"/>
        <w:spacing w:before="20" w:after="40"/>
      </w:pPr>
      <w:r>
        <w:rPr>
          <w:rFonts w:ascii="맑은 고딕" w:hAnsi="맑은 고딕"/>
          <w:b w:val="0"/>
          <w:sz w:val="20"/>
        </w:rPr>
        <w:t>핵심 강점 Competency: *(가장 높은 Level 또는 매출 비중이 높은 영역)*</w:t>
      </w:r>
    </w:p>
    <w:p>
      <w:pPr>
        <w:pStyle w:val="ListBullet"/>
        <w:spacing w:before="20" w:after="40"/>
      </w:pPr>
      <w:r>
        <w:rPr>
          <w:rFonts w:ascii="맑은 고딕" w:hAnsi="맑은 고딕"/>
          <w:b w:val="0"/>
          <w:sz w:val="20"/>
        </w:rPr>
        <w:t>Competency 공백: *(미보유 영역 및 진입 검토 여부)*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블록 B. FY별 Competency별 매출 분석</w:t>
      </w:r>
    </w:p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전체 FY별 매출 추이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460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FY24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FY25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FY26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YoY (FY25→26)</w:t>
            </w:r>
          </w:p>
        </w:tc>
      </w:tr>
      <w:tr>
        <w:tc>
          <w:tcPr>
            <w:tcW w:type="dxa" w:w="246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**Revenue (USD)**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</w:tr>
      <w:tr>
        <w:tc>
          <w:tcPr>
            <w:tcW w:type="dxa" w:w="246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**Deal Count**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</w:tr>
      <w:tr>
        <w:tc>
          <w:tcPr>
            <w:tcW w:type="dxa" w:w="246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**Avg Deal Size**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</w:tr>
    </w:tbl>
    <w:p/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Competency별 매출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050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FY24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FY25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FY26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CAGR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Mix (FY26)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AI-COMP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AI-ENT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DC-COMP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NETWORK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VIZ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VIRT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EDGE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AUTO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**합계**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**$-**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**$-**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**$-**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**-%**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**100%**</w:t>
            </w:r>
          </w:p>
        </w:tc>
      </w:tr>
    </w:tbl>
    <w:p/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분기별 매출 추이 (FY26)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050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Q1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Q2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Q3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Q4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합계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AI-COMP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AI-ENT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DC-COMP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…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**합계**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**$-**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**$-**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**$-**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**$-**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**$-**</w:t>
            </w:r>
          </w:p>
        </w:tc>
      </w:tr>
    </w:tbl>
    <w:p/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매출 분석 인사이트</w:t>
      </w:r>
    </w:p>
    <w:p>
      <w:pPr>
        <w:pStyle w:val="ListBullet"/>
        <w:spacing w:before="20" w:after="40"/>
      </w:pPr>
      <w:r>
        <w:rPr>
          <w:rFonts w:ascii="맑은 고딕" w:hAnsi="맑은 고딕"/>
          <w:b/>
          <w:sz w:val="20"/>
        </w:rPr>
        <w:t>HHI (매출 집중도)</w:t>
      </w:r>
      <w:r>
        <w:rPr>
          <w:rFonts w:ascii="맑은 고딕" w:hAnsi="맑은 고딕"/>
          <w:b w:val="0"/>
          <w:sz w:val="20"/>
        </w:rPr>
        <w:t>: `X.XX` *(1.0 = 완전 집중 / 0.125 = 완전 분산)*</w:t>
      </w:r>
    </w:p>
    <w:p>
      <w:pPr>
        <w:pStyle w:val="ListBullet"/>
        <w:spacing w:before="20" w:after="40"/>
      </w:pPr>
      <w:r>
        <w:rPr>
          <w:rFonts w:ascii="맑은 고딕" w:hAnsi="맑은 고딕"/>
          <w:b/>
          <w:sz w:val="20"/>
        </w:rPr>
        <w:t>성장 견인 Competency</w:t>
      </w:r>
      <w:r>
        <w:rPr>
          <w:rFonts w:ascii="맑은 고딕" w:hAnsi="맑은 고딕"/>
          <w:b w:val="0"/>
          <w:sz w:val="20"/>
        </w:rPr>
        <w:t>: *(예: AI-COMP, YoY +XX%)*</w:t>
      </w:r>
    </w:p>
    <w:p>
      <w:pPr>
        <w:pStyle w:val="ListBullet"/>
        <w:spacing w:before="20" w:after="40"/>
      </w:pPr>
      <w:r>
        <w:rPr>
          <w:rFonts w:ascii="맑은 고딕" w:hAnsi="맑은 고딕"/>
          <w:b/>
          <w:sz w:val="20"/>
        </w:rPr>
        <w:t>주의 Competency</w:t>
      </w:r>
      <w:r>
        <w:rPr>
          <w:rFonts w:ascii="맑은 고딕" w:hAnsi="맑은 고딕"/>
          <w:b w:val="0"/>
          <w:sz w:val="20"/>
        </w:rPr>
        <w:t>: *(예: VIZ, YoY -XX% — 원인 분석 필요)*</w:t>
      </w:r>
    </w:p>
    <w:p>
      <w:pPr>
        <w:pStyle w:val="ListBullet"/>
        <w:spacing w:before="20" w:after="40"/>
      </w:pPr>
      <w:r>
        <w:rPr>
          <w:rFonts w:ascii="맑은 고딕" w:hAnsi="맑은 고딕"/>
          <w:b/>
          <w:sz w:val="20"/>
        </w:rPr>
        <w:t>그룹 내 매출 순위</w:t>
      </w:r>
      <w:r>
        <w:rPr>
          <w:rFonts w:ascii="맑은 고딕" w:hAnsi="맑은 고딕"/>
          <w:b w:val="0"/>
          <w:sz w:val="20"/>
        </w:rPr>
        <w:t>: `동일 Type 내 X위 / N개 파트너`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블록 C. 경쟁력 분석</w:t>
      </w:r>
    </w:p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PCS 평가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050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축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명칭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점수 (1~5)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가중치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가중 점수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평가 근거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C1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Competency Coverage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20%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C2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Revenue Performance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30%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C3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Technical Capability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20%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C4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Market Reach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15%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C5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Strategic Alignment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15%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**PCS 합계**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**100%**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**-**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**등급: -**</w:t>
            </w:r>
          </w:p>
        </w:tc>
      </w:tr>
    </w:tbl>
    <w:p/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그룹 벤치마킹 (동일 Type 내 백분위)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460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파트너 값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그룹 중앙값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백분위</w:t>
            </w:r>
          </w:p>
        </w:tc>
        <w:tc>
          <w:tcPr>
            <w:tcW w:type="dxa" w:w="1582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평가</w:t>
            </w:r>
          </w:p>
        </w:tc>
      </w:tr>
      <w:tr>
        <w:tc>
          <w:tcPr>
            <w:tcW w:type="dxa" w:w="246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FY26 Revenue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↑/↓</w:t>
            </w:r>
          </w:p>
        </w:tc>
      </w:tr>
      <w:tr>
        <w:tc>
          <w:tcPr>
            <w:tcW w:type="dxa" w:w="246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Elite Competency 수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↑/↓</w:t>
            </w:r>
          </w:p>
        </w:tc>
      </w:tr>
      <w:tr>
        <w:tc>
          <w:tcPr>
            <w:tcW w:type="dxa" w:w="246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인증 엔지니어 수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↑/↓</w:t>
            </w:r>
          </w:p>
        </w:tc>
      </w:tr>
      <w:tr>
        <w:tc>
          <w:tcPr>
            <w:tcW w:type="dxa" w:w="246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YoY Growth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582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↑/↓</w:t>
            </w:r>
          </w:p>
        </w:tc>
      </w:tr>
      <w:tr>
        <w:tc>
          <w:tcPr>
            <w:tcW w:type="dxa" w:w="246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Deal Count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-%</w:t>
            </w:r>
          </w:p>
        </w:tc>
        <w:tc>
          <w:tcPr>
            <w:tcW w:type="dxa" w:w="1582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↑/↓</w:t>
            </w:r>
          </w:p>
        </w:tc>
      </w:tr>
    </w:tbl>
    <w:p/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SWOT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101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2343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강점 (Strengths)</w:t>
            </w:r>
          </w:p>
        </w:tc>
        <w:tc>
          <w:tcPr>
            <w:tcW w:type="dxa" w:w="2343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약점 (Weaknesses)</w:t>
            </w:r>
          </w:p>
        </w:tc>
      </w:tr>
      <w:tr>
        <w:tc>
          <w:tcPr>
            <w:tcW w:type="dxa" w:w="4101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**내부**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 AI-COMP Elite 등급 보유&lt;br&gt;- 숙련된 인증 엔지니어 N명&lt;br&gt;- (추가 기재)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 EDGE/AUTO Competency 미보유&lt;br&gt;- 특정 산업 편중&lt;br&gt;- (추가 기재)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101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2343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기회 (Opportunities)</w:t>
            </w:r>
          </w:p>
        </w:tc>
        <w:tc>
          <w:tcPr>
            <w:tcW w:type="dxa" w:w="2343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위협 (Threats)</w:t>
            </w:r>
          </w:p>
        </w:tc>
      </w:tr>
      <w:tr>
        <w:tc>
          <w:tcPr>
            <w:tcW w:type="dxa" w:w="4101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**외부**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 생성형 AI 수요 급증으로 AI-COMP 확장 여지&lt;br&gt;- 미개척 산업/지역 진입 가능&lt;br&gt;- (추가 기재)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 경쟁 파트너의 동일 Competency 강화&lt;br&gt;- 핵심 인력 이탈 리스크&lt;br&gt;- (추가 기재)</w:t>
            </w:r>
          </w:p>
        </w:tc>
      </w:tr>
    </w:tbl>
    <w:p/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포지셔닝 요약</w:t>
      </w:r>
    </w:p>
    <w:p>
      <w:pPr>
        <w:pStyle w:val="ListBullet"/>
        <w:spacing w:before="20" w:after="40"/>
      </w:pPr>
      <w:r>
        <w:rPr>
          <w:rFonts w:ascii="맑은 고딕" w:hAnsi="맑은 고딕"/>
          <w:b/>
          <w:sz w:val="20"/>
        </w:rPr>
        <w:t>사분면</w:t>
      </w:r>
      <w:r>
        <w:rPr>
          <w:rFonts w:ascii="맑은 고딕" w:hAnsi="맑은 고딕"/>
          <w:b w:val="0"/>
          <w:sz w:val="20"/>
        </w:rPr>
        <w:t>: Star / Specialist / Emerging / Wide-Underperform *(해당 항목 선택)*</w:t>
      </w:r>
    </w:p>
    <w:p>
      <w:pPr>
        <w:pStyle w:val="ListBullet"/>
        <w:spacing w:before="20" w:after="40"/>
      </w:pPr>
      <w:r>
        <w:rPr>
          <w:rFonts w:ascii="맑은 고딕" w:hAnsi="맑은 고딕"/>
          <w:b/>
          <w:sz w:val="20"/>
        </w:rPr>
        <w:t>PCS 등급</w:t>
      </w:r>
      <w:r>
        <w:rPr>
          <w:rFonts w:ascii="맑은 고딕" w:hAnsi="맑은 고딕"/>
          <w:b w:val="0"/>
          <w:sz w:val="20"/>
        </w:rPr>
        <w:t>: S / A / B / C</w:t>
      </w:r>
    </w:p>
    <w:p>
      <w:pPr>
        <w:pStyle w:val="ListBullet"/>
        <w:spacing w:before="20" w:after="40"/>
      </w:pPr>
      <w:r>
        <w:rPr>
          <w:rFonts w:ascii="맑은 고딕" w:hAnsi="맑은 고딕"/>
          <w:b/>
          <w:sz w:val="20"/>
        </w:rPr>
        <w:t>한 줄 요약</w:t>
      </w:r>
      <w:r>
        <w:rPr>
          <w:rFonts w:ascii="맑은 고딕" w:hAnsi="맑은 고딕"/>
          <w:b w:val="0"/>
          <w:sz w:val="20"/>
        </w:rPr>
        <w:t>: *(예: "AI 인프라 핵심 파트너이나 SW 역량 강화 필요")*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맑은 고딕" w:hAnsi="맑은 고딕"/>
          <w:color w:val="1A1A2E"/>
          <w:sz w:val="24"/>
        </w:rPr>
        <w:t>블록 D. 액션 플랜</w:t>
      </w:r>
    </w:p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육성 과제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050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과제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기한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1347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PAM / 파트너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진행 전 / 진행 중 / 완료</w:t>
            </w:r>
          </w:p>
        </w:tc>
      </w:tr>
      <w:tr>
        <w:tc>
          <w:tcPr>
            <w:tcW w:type="dxa" w:w="205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050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347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투자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101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343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2343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규모 (예산 검토)</w:t>
            </w:r>
          </w:p>
        </w:tc>
      </w:tr>
      <w:tr>
        <w:tc>
          <w:tcPr>
            <w:tcW w:type="dxa" w:w="4101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**MDF 배분**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*(예: AI-COMP 마케팅 집중 지원)*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</w:tr>
      <w:tr>
        <w:tc>
          <w:tcPr>
            <w:tcW w:type="dxa" w:w="4101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**Co-sell 기회**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*(예: 금융권 AI 인프라 기회 공동 접근)*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4101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**트레이닝 추천**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*(예: NCP AI-ENT 과정, EDGE 입문 과정)*</w:t>
            </w:r>
          </w:p>
        </w:tc>
        <w:tc>
          <w:tcPr>
            <w:tcW w:type="dxa" w:w="2343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4101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**Lab / Demo 지원**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*(예: DGX 데모 장비 지원 검토)*</w:t>
            </w:r>
          </w:p>
        </w:tc>
        <w:tc>
          <w:tcPr>
            <w:tcW w:type="dxa" w:w="2343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</w:tr>
    </w:tbl>
    <w:p/>
    <w:p>
      <w:pPr>
        <w:pStyle w:val="Heading4"/>
        <w:spacing w:before="160" w:after="80"/>
      </w:pPr>
      <w:r>
        <w:rPr>
          <w:rFonts w:ascii="맑은 고딕" w:hAnsi="맑은 고딕"/>
          <w:color w:val="333333"/>
          <w:sz w:val="22"/>
        </w:rPr>
        <w:t>목표 설정 (FY27)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076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FY26 실적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FY27 목표</w:t>
            </w:r>
          </w:p>
        </w:tc>
        <w:tc>
          <w:tcPr>
            <w:tcW w:type="dxa" w:w="190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달성 전략</w:t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Revenue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$-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Level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3076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신규 Competency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90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3076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Deal Count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90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**[파트너 추가 방법]**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위 템플릿 전체(`블록 A ~ D`)를 복사하여 파트너 수만큼 반복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파일명 규칙: `NVIDIA_NPN_파트너_관리_기획서_v2.md` (통합본)</w:t>
      </w:r>
    </w:p>
    <w:p>
      <w:pPr>
        <w:spacing w:before="20" w:after="20"/>
        <w:ind w:left="454"/>
      </w:pPr>
      <w:r>
        <w:rPr>
          <w:rFonts w:ascii="맑은 고딕" w:hAnsi="맑은 고딕"/>
          <w:i/>
          <w:color w:val="666666"/>
          <w:sz w:val="18"/>
        </w:rPr>
        <w:t>개별 파트너 공유 시: 해당 파트너 섹션만 발췌하여 별도 파일로 저장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맑은 고딕" w:hAnsi="맑은 고딕"/>
          <w:color w:val="1A1A2E"/>
          <w:sz w:val="28"/>
        </w:rPr>
        <w:t>문서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9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shd w:val="clear" w:color="auto" w:fill="1A1A2E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**작성자**</w:t>
            </w:r>
          </w:p>
        </w:tc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**검토자**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**승인자**</w:t>
            </w:r>
          </w:p>
        </w:tc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**다음 갱신 기준일**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FY 시작 후 Q1 종료 시점 (연 1회 정기 갱신)</w:t>
            </w:r>
          </w:p>
        </w:tc>
      </w:tr>
      <w:tr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**데이터 소스**</w:t>
            </w:r>
          </w:p>
        </w:tc>
        <w:tc>
          <w:tcPr>
            <w:tcW w:type="dxa" w:w="4394"/>
            <w:shd w:val="clear" w:color="auto" w:fill="FAFAFA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NPN Portal / CRM(Salesforce) / ERP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**배포 범위**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내부 전략·운영팀 (파트너 공유 시 개별 프로파일만 발췌)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