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İş Gereksinim Dokümanı — Kampanya Bazlı Cihaz Taksitlendirme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Müşteri</w:t>
            </w:r>
          </w:p>
        </w:tc>
        <w:tc>
          <w:tcPr>
            <w:tcW w:type="dxa" w:w="4320"/>
          </w:tcPr>
          <w:p>
            <w:r>
              <w:t>Aurora Telekom A.Ş.</w:t>
            </w:r>
          </w:p>
        </w:tc>
      </w:tr>
      <w:tr>
        <w:tc>
          <w:tcPr>
            <w:tcW w:type="dxa" w:w="4320"/>
          </w:tcPr>
          <w:p>
            <w:r>
              <w:t>Doküman No</w:t>
            </w:r>
          </w:p>
        </w:tc>
        <w:tc>
          <w:tcPr>
            <w:tcW w:type="dxa" w:w="4320"/>
          </w:tcPr>
          <w:p>
            <w:r>
              <w:t>AUR-BRD-2026-041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15.06.2026</w:t>
            </w:r>
          </w:p>
        </w:tc>
      </w:tr>
      <w:tr>
        <w:tc>
          <w:tcPr>
            <w:tcW w:type="dxa" w:w="4320"/>
          </w:tcPr>
          <w:p>
            <w:r>
              <w:t>Versiyon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Hazırlayan</w:t>
            </w:r>
          </w:p>
        </w:tc>
        <w:tc>
          <w:tcPr>
            <w:tcW w:type="dxa" w:w="4320"/>
          </w:tcPr>
          <w:p>
            <w:r>
              <w:t>S. Kaya — İş Analisti</w:t>
            </w:r>
          </w:p>
        </w:tc>
      </w:tr>
    </w:tbl>
    <w:p>
      <w:pPr>
        <w:pStyle w:val="Heading1"/>
      </w:pPr>
      <w:r>
        <w:t>1. Amaç</w:t>
      </w:r>
    </w:p>
    <w:p>
      <w:r>
        <w:t>Aurora Telekom, bireysel faturalı abonelerine kampanya bazlı cihaz taksitlendirme imkânı sunmayı hedeflemektedir. Bu doküman, taksitlendirme yeteneğinin iş gereksinimlerini üst seviyede tanımlar.</w:t>
      </w:r>
    </w:p>
    <w:p>
      <w:pPr>
        <w:pStyle w:val="Heading1"/>
      </w:pPr>
      <w:r>
        <w:t>2. Kapsam</w:t>
      </w:r>
    </w:p>
    <w:p>
      <w:r>
        <w:t>Kapsam; kampanya tanımlama, taksit planı oluşturma, faturaya yansıtma ve bayi kanalından satış akışlarını içerir. Kurumsal segment ve ön ödemeli hat satışları bu fazın kapsamı dışındadır.</w:t>
      </w:r>
    </w:p>
    <w:p>
      <w:pPr>
        <w:pStyle w:val="Heading1"/>
      </w:pPr>
      <w:r>
        <w:t>3. İş Gereksinimleri</w:t>
      </w:r>
    </w:p>
    <w:p>
      <w:pPr>
        <w:pStyle w:val="ListBullet"/>
      </w:pPr>
      <w:r>
        <w:t>G-01: Pazarlama ekibi, kampanya yönetimi ekranından taksitli cihaz kampanyası tanımlayabilmelidir (cihaz listesi, taksit sayısı seçenekleri, kampanya dönemi).</w:t>
      </w:r>
    </w:p>
    <w:p>
      <w:pPr>
        <w:pStyle w:val="ListBullet"/>
      </w:pPr>
      <w:r>
        <w:t>G-02: Taksit planları 3, 6, 12 ve 24 ay seçenekleriyle sunulmalıdır.</w:t>
      </w:r>
    </w:p>
    <w:p>
      <w:pPr>
        <w:pStyle w:val="ListBullet"/>
      </w:pPr>
      <w:r>
        <w:t>G-03: Taksit tutarı, abonenin aylık faturasına ayrı kalem olarak yansıtılmalıdır.</w:t>
      </w:r>
    </w:p>
    <w:p>
      <w:pPr>
        <w:pStyle w:val="ListBullet"/>
      </w:pPr>
      <w:r>
        <w:t>G-04: Kurumsal müşteriler için farklı koşullar uygulanabilir.</w:t>
      </w:r>
    </w:p>
    <w:p>
      <w:pPr>
        <w:pStyle w:val="ListBullet"/>
      </w:pPr>
      <w:r>
        <w:t>G-05: Bayi, satış anında abonenin taksitlendirmeye uygunluğunu sorgulayabilmelidir.</w:t>
      </w:r>
    </w:p>
    <w:p>
      <w:pPr>
        <w:pStyle w:val="ListBullet"/>
      </w:pPr>
      <w:r>
        <w:t>G-06: Kampanya bazında komisyon oranları aşağıdaki matrise göre uygulanmalıdır (bkz. Tablo 3.2-a).</w:t>
      </w:r>
    </w:p>
    <w:p>
      <w:pPr>
        <w:pStyle w:val="ListBullet"/>
      </w:pPr>
      <w:r>
        <w:t>G-07: Cihaz iadesi durumunda taksit planı kapatılmalıdır.</w:t>
      </w:r>
    </w:p>
    <w:p>
      <w:pPr>
        <w:pStyle w:val="ListBullet"/>
      </w:pPr>
      <w:r>
        <w:t>G-08: Taksitlendirme hareketleri günlük olarak muhasebe sistemine raporlanmalıdır.</w:t>
      </w:r>
    </w:p>
    <w:p>
      <w:pPr>
        <w:pStyle w:val="Heading2"/>
      </w:pPr>
      <w:r>
        <w:t>3.2 Taksit Komisyon Matrisi (Tablo 3.2-a)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Taksit Sayısı</w:t>
            </w:r>
          </w:p>
        </w:tc>
        <w:tc>
          <w:tcPr>
            <w:tcW w:type="dxa" w:w="2880"/>
          </w:tcPr>
          <w:p>
            <w:r>
              <w:t>Komisyon Oranı</w:t>
            </w:r>
          </w:p>
        </w:tc>
        <w:tc>
          <w:tcPr>
            <w:tcW w:type="dxa" w:w="2880"/>
          </w:tcPr>
          <w:p>
            <w:r>
              <w:t>Asgari Sepet Tutarı</w:t>
            </w:r>
          </w:p>
        </w:tc>
      </w:tr>
      <w:tr>
        <w:tc>
          <w:tcPr>
            <w:tcW w:type="dxa" w:w="2880"/>
          </w:tcPr>
          <w:p>
            <w:r>
              <w:t>3 ay</w:t>
            </w:r>
          </w:p>
        </w:tc>
        <w:tc>
          <w:tcPr>
            <w:tcW w:type="dxa" w:w="2880"/>
          </w:tcPr>
          <w:p>
            <w:r>
              <w:t>%2,4</w:t>
            </w:r>
          </w:p>
        </w:tc>
        <w:tc>
          <w:tcPr>
            <w:tcW w:type="dxa" w:w="2880"/>
          </w:tcPr>
          <w:p>
            <w:r>
              <w:t>1.500 TL</w:t>
            </w:r>
          </w:p>
        </w:tc>
      </w:tr>
      <w:tr>
        <w:tc>
          <w:tcPr>
            <w:tcW w:type="dxa" w:w="2880"/>
          </w:tcPr>
          <w:p>
            <w:r>
              <w:t>6 ay</w:t>
            </w:r>
          </w:p>
        </w:tc>
        <w:tc>
          <w:tcPr>
            <w:tcW w:type="dxa" w:w="2880"/>
          </w:tcPr>
          <w:p>
            <w:r>
              <w:t>%4,1</w:t>
            </w:r>
          </w:p>
        </w:tc>
        <w:tc>
          <w:tcPr>
            <w:tcW w:type="dxa" w:w="2880"/>
          </w:tcPr>
          <w:p>
            <w:r>
              <w:t>1.500 TL</w:t>
            </w:r>
          </w:p>
        </w:tc>
      </w:tr>
      <w:tr>
        <w:tc>
          <w:tcPr>
            <w:tcW w:type="dxa" w:w="2880"/>
          </w:tcPr>
          <w:p>
            <w:r>
              <w:t>12 ay</w:t>
            </w:r>
          </w:p>
        </w:tc>
        <w:tc>
          <w:tcPr>
            <w:tcW w:type="dxa" w:w="2880"/>
          </w:tcPr>
          <w:p>
            <w:r>
              <w:t>%7,8</w:t>
            </w:r>
          </w:p>
        </w:tc>
        <w:tc>
          <w:tcPr>
            <w:tcW w:type="dxa" w:w="2880"/>
          </w:tcPr>
          <w:p>
            <w:r>
              <w:t>3.000 TL</w:t>
            </w:r>
          </w:p>
        </w:tc>
      </w:tr>
      <w:tr>
        <w:tc>
          <w:tcPr>
            <w:tcW w:type="dxa" w:w="2880"/>
          </w:tcPr>
          <w:p>
            <w:r>
              <w:t>24 ay</w:t>
            </w:r>
          </w:p>
        </w:tc>
        <w:tc>
          <w:tcPr>
            <w:tcW w:type="dxa" w:w="2880"/>
          </w:tcPr>
          <w:p>
            <w:r>
              <w:t>%12,5</w:t>
            </w:r>
          </w:p>
        </w:tc>
        <w:tc>
          <w:tcPr>
            <w:tcW w:type="dxa" w:w="2880"/>
          </w:tcPr>
          <w:p>
            <w:r>
              <w:t>6.000 TL</w:t>
            </w:r>
          </w:p>
        </w:tc>
      </w:tr>
    </w:tbl>
    <w:p>
      <w:pPr>
        <w:pStyle w:val="Heading1"/>
      </w:pPr>
      <w:r>
        <w:t>4. Varsayımlar ve Kısıtlar</w:t>
      </w:r>
    </w:p>
    <w:p>
      <w:pPr>
        <w:pStyle w:val="ListBullet"/>
      </w:pPr>
      <w:r>
        <w:t>V-01: Bu iş için ayrılan bütçe azami 90 adam-gündür.</w:t>
      </w:r>
    </w:p>
    <w:p>
      <w:pPr>
        <w:pStyle w:val="ListBullet"/>
      </w:pPr>
      <w:r>
        <w:t>V-02: Kampanya lansmanı 30 Eylül 2026 tarihine yetişmelidir.</w:t>
      </w:r>
    </w:p>
    <w:p>
      <w:pPr>
        <w:pStyle w:val="ListBullet"/>
      </w:pPr>
      <w:r>
        <w:t>V-03: Cihaz stok yönetimi mevcut bayi portalı üzerinden yürütülecektir.</w:t>
      </w:r>
    </w:p>
    <w:p>
      <w:pPr>
        <w:pStyle w:val="Heading1"/>
      </w:pPr>
      <w:r>
        <w:t>Onay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 Soyad</w:t>
            </w:r>
          </w:p>
        </w:tc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İmza / Tarih</w:t>
            </w:r>
          </w:p>
        </w:tc>
      </w:tr>
      <w:tr>
        <w:tc>
          <w:tcPr>
            <w:tcW w:type="dxa" w:w="2880"/>
          </w:tcPr>
          <w:p>
            <w:r>
              <w:t>S. Kaya</w:t>
            </w:r>
          </w:p>
        </w:tc>
        <w:tc>
          <w:tcPr>
            <w:tcW w:type="dxa" w:w="2880"/>
          </w:tcPr>
          <w:p>
            <w:r>
              <w:t>İş Analisti (Aurora Telekom)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A. Demir</w:t>
            </w:r>
          </w:p>
        </w:tc>
        <w:tc>
          <w:tcPr>
            <w:tcW w:type="dxa" w:w="2880"/>
          </w:tcPr>
          <w:p>
            <w:r>
              <w:t>Analist (Meridyen Teknoloji)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