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Değişiklik Talebi — Ön Ödemeliden Faturalıya Geçişte Bakiye Taşıma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Müşteri</w:t>
            </w:r>
          </w:p>
        </w:tc>
        <w:tc>
          <w:tcPr>
            <w:tcW w:type="dxa" w:w="4320"/>
          </w:tcPr>
          <w:p>
            <w:r>
              <w:t>Aurora Telekom A.Ş.</w:t>
            </w:r>
          </w:p>
        </w:tc>
      </w:tr>
      <w:tr>
        <w:tc>
          <w:tcPr>
            <w:tcW w:type="dxa" w:w="4320"/>
          </w:tcPr>
          <w:p>
            <w:r>
              <w:t>Talep No</w:t>
            </w:r>
          </w:p>
        </w:tc>
        <w:tc>
          <w:tcPr>
            <w:tcW w:type="dxa" w:w="4320"/>
          </w:tcPr>
          <w:p>
            <w:r>
              <w:t>AUR-CR-2026-118</w:t>
            </w:r>
          </w:p>
        </w:tc>
      </w:tr>
      <w:tr>
        <w:tc>
          <w:tcPr>
            <w:tcW w:type="dxa" w:w="4320"/>
          </w:tcPr>
          <w:p>
            <w:r>
              <w:t>Tarih</w:t>
            </w:r>
          </w:p>
        </w:tc>
        <w:tc>
          <w:tcPr>
            <w:tcW w:type="dxa" w:w="4320"/>
          </w:tcPr>
          <w:p>
            <w:r>
              <w:t>21.07.2026</w:t>
            </w:r>
          </w:p>
        </w:tc>
      </w:tr>
      <w:tr>
        <w:tc>
          <w:tcPr>
            <w:tcW w:type="dxa" w:w="4320"/>
          </w:tcPr>
          <w:p>
            <w:r>
              <w:t>Talep Sahibi</w:t>
            </w:r>
          </w:p>
        </w:tc>
        <w:tc>
          <w:tcPr>
            <w:tcW w:type="dxa" w:w="4320"/>
          </w:tcPr>
          <w:p>
            <w:r>
              <w:t>B. Çelik — Müşteri Deneyimi</w:t>
            </w:r>
          </w:p>
        </w:tc>
      </w:tr>
    </w:tbl>
    <w:p>
      <w:pPr>
        <w:pStyle w:val="Heading1"/>
      </w:pPr>
      <w:r>
        <w:t>Talep</w:t>
      </w:r>
    </w:p>
    <w:p>
      <w:r>
        <w:t>Ön ödemeli hattan faturalı tarifeye geçiş yapan abonenin kalan TL bakiyesi, geçiş sonrası ilk faturasına indirim kalemi olarak yansıtılmalıdır.</w:t>
      </w:r>
    </w:p>
    <w:p>
      <w:pPr>
        <w:pStyle w:val="Heading1"/>
      </w:pPr>
      <w:r>
        <w:t>Not</w:t>
      </w:r>
    </w:p>
    <w:p>
      <w:r>
        <w:t>Bakiyenin ilk fatura tutarını aşması durumunda izlenecek yöntem işletme ile netleştirilecektir.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