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14284B"/>
          <w:sz w:val="35"/>
        </w:rPr>
        <w:t>Explainable AI-Based Chronic Kidney Disease (CKD) Progression Forecasting via Multi-Resolution Deep Continuous Koopman Operator Theory (mr-DeepDMDc)</w:t>
      </w:r>
    </w:p>
    <w:p>
      <w:pPr>
        <w:spacing w:after="200"/>
      </w:pPr>
      <w:r>
        <w:rPr>
          <w:rFonts w:ascii="Calibri" w:hAnsi="Calibri"/>
          <w:i/>
          <w:color w:val="0C6E6E"/>
          <w:sz w:val="21"/>
        </w:rPr>
        <w:t>Complete Project Architecture, DMD Variant Justification, Text &amp; Visual Architecture Diagrams, Step-by-Step Approach, Core Mathematics &amp; Dashboard Vision</w:t>
      </w: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1. Clinical Problem Statement &amp; Global Healthcare Burden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Chronic Kidney Disease (CKD) is a catastrophic silent epidemic affecting over 850 million people globally, with more than 100 million patients in India alone. The pathology is asymptomatic in its early and intermediate stages (Stages 1 through 3b) while functional nephron units undergo progressive sclerotic destruction. By the time symptoms appear, kidney function has often plummeted below 15 mL/min/1.73m² (Stage 5 / End-Stage Renal Disease - ESRD), leaving patients with only two grueling, costly options: lifelong dialysis or kidney transplantation.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The Doctor's Real Dilemma: </w:t>
      </w:r>
      <w:r>
        <w:rPr>
          <w:rFonts w:ascii="Calibri" w:hAnsi="Calibri"/>
          <w:color w:val="232323"/>
          <w:sz w:val="20"/>
        </w:rPr>
        <w:t>In clinical practice, nephrologists do not need AI to tell them 'Does this patient have CKD?' (diagnosis is simple via blood creatinine). What doctors urgently need to know is: (1) 'WHEN will this patient crash? In 4 months or 5 years?' and (2) 'If I lower their blood pressure or add an SGLT2 inhibitor today, how many years of dialysis-free life can we save?'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Why Existing AI Fails: </w:t>
      </w:r>
      <w:r>
        <w:rPr>
          <w:rFonts w:ascii="Calibri" w:hAnsi="Calibri"/>
          <w:color w:val="232323"/>
          <w:sz w:val="20"/>
        </w:rPr>
        <w:t>90% of existing AI models perform static binary classification ('CKD: Yes/No') on single-visit records. They are completely blind to historical progression speed and cannot simulate medication changes.</w:t>
      </w: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2. Dynamic Mode Decomposition (DMD): Which Variant and Why?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Standard Dynamic Mode Decomposition (DMD) was originally designed for linear fluid dynamics. Because human disease progression is non-linear, multi-scale, and actively manipulated by doctors via medications, standard DMD is inadequate. Below is the exact mathematical justification for why we combine Multi-Resolution DMD and DMD with Control into a unified Deep Neural Framework: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DMD Variant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Mathematical Formulation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Why Standard Fails &amp; Why We Need It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Role in Our Project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Standard Exact DMD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x_(t+1) = A · x_t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Assumes raw clinical data is already linear. Cannot handle complex human biology or medications.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Insufficient on its own (Baseline reference only).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Extended DMD (EDMD)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z_(t+1) = A · z_t where z=Φ(x)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Uses fixed polynomial dictionaries. In biology, manually guessing the right non-linear equations is impossible.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Replaced by Deep Learning to learn Φ(x) automatically.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DMD with Control (DMDc)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dz/dt = A·z + B·u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Crucial because patients receive medications u(t). Separates natural decline (Matrix A) from drug response (Matrix B).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Core Engine for the 'What-If' Counterfactual Treatment Simulator.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Multi-Resolution DMD (mrDMD)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z(t) = z_slow(t) + z_fast(t)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Separates slow long-term nephron decline (years) from rapid short-term biomarker fluctuations (BP spikes, infections).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Decomposes multi-scale temporal dynamics during preprocessing.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Our Model: mr-DeepDMDc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dz/dt = A·ψ(x) + B·u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Combines Neural Autoencoder (Deep Learning) + Multi-Resolution Split (mrDMD) + Treatment Matrix (DMDc).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THE PRIMARY FLAGSHIP NOVEL MODEL of this project.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3. Benchmark: Base Papers vs. Our Proposed Approach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Base Paper Paradigm 1:</w:t>
              <w:br/>
              <w:t>Classical ML / Flat EHR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Base Paper Paradigm 2:</w:t>
              <w:br/>
              <w:t>Standard Deep EHR (LSTM / RETAIN)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Our Proposed Architecture:</w:t>
              <w:br/>
              <w:t>Multi-Resolution Deep DMDc + XAI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Representative Works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XGBoost, Random Forest, Logistic Reg.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Choi et al. (RETAIN), Li et al. (BEHRT)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Multi-Resolution Deep Continuous DMDc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Prediction Type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Static binary classification ('CKD: Yes/No')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Discrete next-step event risk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Continuous Multi-Horizon Trajectory (3, 6, 12 mo)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Irregular Visits (Δt)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Ignored (assumes uniform intervals)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Crude binning / standard positional enc.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Continuous Koopman Generator (exp(A·Δt)) handles arbitrary Δt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What-If Simulation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Impossible (no causal/control mechanism)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Infeasible (requires synthetic retraining)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Explicit Control Matrix B·u enables real-time counterfactuals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Multi-Scale Dynamics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None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None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mrDMD separates fast BP spikes from slow eGFR loss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Interpretability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Post-hoc SHAP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Attention weights (often noisy / non-causal)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Dual-Layer: Spectral Eigenmodes (A=WΛW⁻¹) + SHAP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Uncertainty &amp; Safety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None (blind overconfident point estimates)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Poorly calibrated softmax scores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Bayesian Monte Carlo Dropout + 95% Conformal Safety Bands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4. End-to-End System Architecture (Text &amp; Visual Diagrams)</w:t>
      </w:r>
    </w:p>
    <w:p>
      <w:pPr>
        <w:keepNext/>
        <w:spacing w:before="200" w:after="60"/>
      </w:pPr>
      <w:r>
        <w:rPr>
          <w:rFonts w:ascii="Calibri" w:hAnsi="Calibri"/>
          <w:b/>
          <w:color w:val="0C6E6E"/>
          <w:sz w:val="23"/>
        </w:rPr>
        <w:t>4.1 Text-Based Flow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F0F5FF"/>
                <w:sz w:val="17"/>
              </w:rPr>
              <w:t>+---------------------------------------------------------------------------------------+</w:t>
              <w:br/>
              <w:t>| 1. CRIC DATASET INGESTION: Multi-Visit History [x_1, ..., x_t], Interventions u(t), Δt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2. mrDMD MULTI-RESOLUTION PREPROCESSING: Decompose Fast (BP/Glucose) vs Slow (eGFR) 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3. DEEP AUTOENCODER ENCODER: ψ_enc maps non-linear state x(t) into Latent z(t) ∈ R^d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4. CONTINUOUS DMDc STATE-SPACE OPERATOR: dz/dt = A·z(t) + B·u(t)                      |</w:t>
              <w:br/>
              <w:t>|    Exact Matrix Exponential: z(t+Δt) = exp(A·Δt)·z(t) + A⁻¹(exp(A·Δt) - I)·B·u(t)   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5. NON-LINEAR DECODER: x̂(t+Δt) = ψ_dec(z(t+Δt)) --&gt; Multi-Horizon eGFR (3, 6, 12 mo)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6. CLINICAL AI POST-PROCESSING:                                                       |</w:t>
              <w:br/>
              <w:t>|    • What-If Simulator: ΔTraj = B·Δu         • Spectral Modes: A = W·Λ·W⁻¹ (Crash/Safe) |</w:t>
              <w:br/>
              <w:t>|    • 95% Conformal Prediction Bounds         • SHAP Feature Attribution Waterfalls   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7. INTERACTIVE CLINICIAN DASHBOARD: Trajectory Viewer, Medication Sliders, Risk Badge |</w:t>
              <w:br/>
              <w:t>+---------------------------------------------------------------------------------------+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0C6E6E"/>
          <w:sz w:val="23"/>
        </w:rPr>
        <w:t>4.2 High-Resolution Visual Architecture Diagram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2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0C6E6E"/>
          <w:sz w:val="18"/>
        </w:rPr>
        <w:t>Figure 1: Full High-Resolution Architecture of Multi-Resolution Deep Continuous DMDc System.</w:t>
      </w: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5. Step-by-Step Methodological Approach (How We Build It)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We execute the project through 6 structured engineering and mathematical steps: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Step 1 (Cohort Ingestion &amp; Time-Delta Alignment): </w:t>
      </w:r>
      <w:r>
        <w:rPr>
          <w:rFonts w:ascii="Calibri" w:hAnsi="Calibri"/>
          <w:color w:val="232323"/>
          <w:sz w:val="20"/>
        </w:rPr>
        <w:t>Extract multi-visit patient records from CRIC. For each patient sequence, compute elapsed follow-up intervals Δt = t_(k+1) - t_k, biological target states x(t) (eGFR, Creatinine, UACR), and active clinical intervention vectors u(t) (BP targets, ACEi/ARB, SGLT2i).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Step 2 (Multi-Resolution mrDMD Time-Scale Decomposition): </w:t>
      </w:r>
      <w:r>
        <w:rPr>
          <w:rFonts w:ascii="Calibri" w:hAnsi="Calibri"/>
          <w:color w:val="232323"/>
          <w:sz w:val="20"/>
        </w:rPr>
        <w:t>Apply Multi-Resolution DMD to separate high-frequency physiological noise (short-term blood pressure fluctuations, temporary glucose spikes) from slow-scale chronic renal deterioration (long-term eGFR decline).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Step 3 (Deep Koopman Autoencoder Construction): </w:t>
      </w:r>
      <w:r>
        <w:rPr>
          <w:rFonts w:ascii="Calibri" w:hAnsi="Calibri"/>
          <w:color w:val="232323"/>
          <w:sz w:val="20"/>
        </w:rPr>
        <w:t>Build an Encoder neural network ψ_enc: ℝⁿ → ℝᵈ that lifts non-linear clinical measurements into a latent space z(t) where disease dynamics behave linearly. Build a Decoder network ψ_dec: ℝᵈ → ℝⁿ to map latent coordinates back to clinical units.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Step 4 (Continuous State-Space Layer &amp; Training): </w:t>
      </w:r>
      <w:r>
        <w:rPr>
          <w:rFonts w:ascii="Calibri" w:hAnsi="Calibri"/>
          <w:color w:val="232323"/>
          <w:sz w:val="20"/>
        </w:rPr>
        <w:t>Implement the continuous-time linear layer dz/dt = A·z + B·u. Use matrix exponential integration exp(A·Δt) to naturally forecast across irregular visit gaps. Train end-to-end to minimize the 4-part loss function.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Step 5 (Explainability &amp; Safety Bounds): </w:t>
      </w:r>
      <w:r>
        <w:rPr>
          <w:rFonts w:ascii="Calibri" w:hAnsi="Calibri"/>
          <w:color w:val="232323"/>
          <w:sz w:val="20"/>
        </w:rPr>
        <w:t>Perform spectral decomposition on Matrix A (A = W·Λ·W⁻¹) to mathematically categorize patients into Rapid vs. Stable progressors based on eigenvalue stability. Compute 95% Conformal Prediction bounds and SHAP feature attribution waterfalls.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Step 6 (Interactive Clinician Decision Dashboard): </w:t>
      </w:r>
      <w:r>
        <w:rPr>
          <w:rFonts w:ascii="Calibri" w:hAnsi="Calibri"/>
          <w:color w:val="232323"/>
          <w:sz w:val="20"/>
        </w:rPr>
        <w:t>Deploy a Streamlit web application featuring multi-horizon trajectory curves with shaded 95% confidence bands, dynamic risk badges, and interactive 'What-If' medication sliders driven by ΔTraj = B·Δu.</w:t>
      </w: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6. Core Mathematical Formulations (The 4 Key Equations)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Here are the 4 fundamental mathematical formulations driving the entire project:</w:t>
      </w:r>
    </w:p>
    <w:p>
      <w:pPr>
        <w:keepNext/>
        <w:spacing w:before="200" w:after="60"/>
      </w:pPr>
      <w:r>
        <w:rPr>
          <w:rFonts w:ascii="Calibri" w:hAnsi="Calibri"/>
          <w:b/>
          <w:color w:val="0C6E6E"/>
          <w:sz w:val="23"/>
        </w:rPr>
        <w:t>Main Equation 1: Continuous Koopman State-Space System &amp; Exact Solution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Maps non-linear biological state x(t) into linear latent space z(t) = ψ_enc(x(t)) and solves continuously over irregular follow-up time Δt: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/>
                <w:color w:val="0F1E3C"/>
                <w:sz w:val="22"/>
              </w:rPr>
              <w:t>d z(t) / d t  =  A · z(t)  +  B · u(t)</w:t>
              <w:br/>
              <w:br/>
              <w:t>z(t + Δt)  =  e^(A · Δt) · z(t)  +  A⁻¹ · ( e^(A · Δt) - I ) · B · u(t)</w:t>
              <w:br/>
              <w:br/>
              <w:t>x̂(t + Δt)  =  ψ_dec( z(t + Δt) )</w:t>
            </w:r>
            <w:r>
              <w:rPr>
                <w:rFonts w:ascii="Calibri" w:hAnsi="Calibri"/>
                <w:b/>
                <w:color w:val="0C6E6E"/>
                <w:sz w:val="19"/>
              </w:rPr>
              <w:t xml:space="preserve">    (Eq. 1)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i/>
                <w:color w:val="232323"/>
                <w:sz w:val="18"/>
              </w:rPr>
              <w:t>The governing continuous Koopman evolution equation with clinical control inputs over irregular time intervals Δt.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Calibri" w:hAnsi="Calibri"/>
          <w:b/>
          <w:color w:val="232323"/>
          <w:sz w:val="20"/>
        </w:rPr>
        <w:t xml:space="preserve">Matrix &amp; Vector Dictionary: </w:t>
      </w:r>
      <w:r>
        <w:rPr>
          <w:rFonts w:ascii="Calibri" w:hAnsi="Calibri"/>
          <w:color w:val="232323"/>
          <w:sz w:val="20"/>
        </w:rPr>
        <w:t>What these terms and matrices hold biologically: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x(t) ∈ ℝⁿ: </w:t>
      </w:r>
      <w:r>
        <w:rPr>
          <w:rFonts w:ascii="Calibri" w:hAnsi="Calibri"/>
          <w:color w:val="232323"/>
          <w:sz w:val="20"/>
        </w:rPr>
        <w:t>Measurable patient state (eGFR, Serum Creatinine, UACR, Systolic BP, Diastolic BP, Hemoglobin, Potassium).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z(t) ∈ ℝᵈ: </w:t>
      </w:r>
      <w:r>
        <w:rPr>
          <w:rFonts w:ascii="Calibri" w:hAnsi="Calibri"/>
          <w:color w:val="232323"/>
          <w:sz w:val="20"/>
        </w:rPr>
        <w:t>Latent biological coordinate representing true underlying nephron capacity, de-noised of laboratory measurement error.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Matrix A ∈ ℝ^(d×d): </w:t>
      </w:r>
      <w:r>
        <w:rPr>
          <w:rFonts w:ascii="Calibri" w:hAnsi="Calibri"/>
          <w:color w:val="232323"/>
          <w:sz w:val="20"/>
        </w:rPr>
        <w:t>Autonomous Renal Decline Operator (natural disease decline speed without new intervention).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Matrix B ∈ ℝ^(d×p): </w:t>
      </w:r>
      <w:r>
        <w:rPr>
          <w:rFonts w:ascii="Calibri" w:hAnsi="Calibri"/>
          <w:color w:val="232323"/>
          <w:sz w:val="20"/>
        </w:rPr>
        <w:t>Therapeutic Response Operator (quantifies how much medication stops/slows down decline).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Vector u(t) ∈ ℝᵖ: </w:t>
      </w:r>
      <w:r>
        <w:rPr>
          <w:rFonts w:ascii="Calibri" w:hAnsi="Calibri"/>
          <w:color w:val="232323"/>
          <w:sz w:val="20"/>
        </w:rPr>
        <w:t>Clinical interventions (target SBP reduction, ACEi/ARB dosage, SGLT2 inhibitor presence).</w:t>
      </w:r>
    </w:p>
    <w:p>
      <w:pPr>
        <w:keepNext/>
        <w:spacing w:before="200" w:after="60"/>
      </w:pPr>
      <w:r>
        <w:rPr>
          <w:rFonts w:ascii="Calibri" w:hAnsi="Calibri"/>
          <w:b/>
          <w:color w:val="0C6E6E"/>
          <w:sz w:val="23"/>
        </w:rPr>
        <w:t>Main Equation 2: Spectral Eigenmode Stability (Crash vs. Stable)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Performing eigenvalue decomposition on the continuous operator Matrix A: A = W · Λ · W⁻¹ where eigenvalues λ_j = σ_j + i·ω_j: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/>
                <w:color w:val="0F1E3C"/>
                <w:sz w:val="22"/>
              </w:rPr>
              <w:t>A  =  W · Λ · W⁻¹,      where  Λ = diag( λ₁,  λ₂,  ...,  λ_d )</w:t>
              <w:br/>
              <w:br/>
              <w:t>• Re( λ_j ) &gt; 0  ⟹  Rapid Collapse Mode (Unstable exponential kidney failure; flags high risk)</w:t>
              <w:br/>
              <w:t>• Re( λ_j ) ≈ 0  ⟹  Chronic Stable Mode (Predictable age-associated decline)</w:t>
              <w:br/>
              <w:t>• Re( λ_j ) &lt; 0  ⟹  Stabilizing Response Mode (Medical therapy actively protects kidney)</w:t>
            </w:r>
            <w:r>
              <w:rPr>
                <w:rFonts w:ascii="Calibri" w:hAnsi="Calibri"/>
                <w:b/>
                <w:color w:val="0C6E6E"/>
                <w:sz w:val="19"/>
              </w:rPr>
              <w:t xml:space="preserve">    (Eq. 2)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i/>
                <w:color w:val="232323"/>
                <w:sz w:val="18"/>
              </w:rPr>
              <w:t>Spectral Lyapunov stability classification of patient disease phenotypes.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C6E6E"/>
          <w:sz w:val="23"/>
        </w:rPr>
        <w:t>Main Equation 3: Unified 4-Part Multi-Objective Loss Function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The entire neural network is optimized end-to-end to minimize: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/>
                <w:color w:val="0F1E3C"/>
                <w:sz w:val="22"/>
              </w:rPr>
              <w:t>ℒ_total  =  λ₁·ℒ_reconstruction  +  λ₂·ℒ_prediction  +  λ₃·ℒ_koopman_linear  +  λ₄·ℒ_bio_guardrail</w:t>
              <w:br/>
              <w:br/>
              <w:t>1. ℒ_reconstruction = (1/N) ∑ ‖ x_i(t) - ψ_dec(ψ_enc(x_i(t))) ‖₂²</w:t>
              <w:br/>
              <w:t>2. ℒ_prediction     = (1/N) ∑ ∑_(k∈{3,6,12}) ‖ x̂_i(t+k) - x_i(t+k) ‖₂²</w:t>
              <w:br/>
              <w:t>3. ℒ_koopman_linear = (1/N) ∑ ‖ z_i(t+Δt) - [ e^(A·Δt)z_i(t) + B_eff·u_i(t) ] ‖₂²</w:t>
              <w:br/>
              <w:t>4. ℒ_bio_guardrail  = ReLU( - eGFR̂ ) + ReLU( - Creatininê ) + λ_s·ReLU( |deGFR̂/dt| - MaxSlope )</w:t>
            </w:r>
            <w:r>
              <w:rPr>
                <w:rFonts w:ascii="Calibri" w:hAnsi="Calibri"/>
                <w:b/>
                <w:color w:val="0C6E6E"/>
                <w:sz w:val="19"/>
              </w:rPr>
              <w:t xml:space="preserve">    (Eq. 3)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i/>
                <w:color w:val="232323"/>
                <w:sz w:val="18"/>
              </w:rPr>
              <w:t>Combines Autoencoder fidelity, multi-horizon accuracy, Koopman linearity, and human biological constraints.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C6E6E"/>
          <w:sz w:val="23"/>
        </w:rPr>
        <w:t>Main Equation 4: Non-Parametric Conformal 95% Confidence Guarantee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Using calibration non-conformity quantiles q̂, the prediction interval satisfies strict statistical coverage: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/>
                <w:color w:val="0F1E3C"/>
                <w:sz w:val="22"/>
              </w:rPr>
              <w:t>P(  y_true  ∈  [ x̂  -  q̂,    x̂  +  q̂ ]  )  ≥  0.95</w:t>
            </w:r>
            <w:r>
              <w:rPr>
                <w:rFonts w:ascii="Calibri" w:hAnsi="Calibri"/>
                <w:b/>
                <w:color w:val="0C6E6E"/>
                <w:sz w:val="19"/>
              </w:rPr>
              <w:t xml:space="preserve">    (Eq. 4)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i/>
                <w:color w:val="232323"/>
                <w:sz w:val="18"/>
              </w:rPr>
              <w:t>Guarantees that the true future eGFR will fall inside the shaded confidence band at least 95% of the time.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7. CRIC Dataset Specifications &amp; Schema</w:t>
      </w:r>
    </w:p>
    <w:p>
      <w:pPr>
        <w:spacing w:after="80" w:line="276" w:lineRule="auto"/>
      </w:pPr>
      <w:r>
        <w:rPr>
          <w:rFonts w:ascii="Calibri" w:hAnsi="Calibri"/>
          <w:color w:val="232323"/>
          <w:sz w:val="20"/>
        </w:rPr>
        <w:t>The Chronic Renal Insufficiency Cohort (CRIC) tracks ~3,900 to 5,500 adult patients with mild-to-moderate CKD over 10+ years across repeated annual clinical exams and biannual lab follow-ups.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Feature Category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Specific Variables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Clinical Unit / Format</w:t>
            </w:r>
          </w:p>
        </w:tc>
        <w:tc>
          <w:tcPr>
            <w:tcW w:type="dxa" w:w="2484"/>
            <w:shd w:fill="1428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Role in Model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Target States x(t)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eGFR (CKD-EPI formula)</w:t>
              <w:br/>
              <w:t>Serum Creatinine</w:t>
              <w:br/>
              <w:t>Urine Protein (UACR)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mL/min/1.73m²</w:t>
              <w:br/>
              <w:t>mg/dL</w:t>
              <w:br/>
              <w:t>mg/g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Target state vector to forecast across 3, 6, 12 months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Hemodynamic Vitals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Systolic BP (SBP)</w:t>
              <w:br/>
              <w:t>Diastolic BP (DBP)</w:t>
              <w:br/>
              <w:t>Body Mass Index (BMI)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mmHg</w:t>
              <w:br/>
              <w:t>mmHg</w:t>
              <w:br/>
              <w:t>kg/m²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Dynamic physiological observables impacting renal perfusion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Metabolic &amp; Lab Markers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HbA1c / Blood Glucose</w:t>
              <w:br/>
              <w:t>Serum Potassium &amp; Bicarbonate</w:t>
              <w:br/>
              <w:t>Serum Hemoglobin &amp; Albumin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% / mg/dL</w:t>
              <w:br/>
              <w:t>mEq/L</w:t>
              <w:br/>
              <w:t>g/dL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Biomarkers tracking diabetic nephropathy, acidosis, and anemia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Clinical Controls u(t)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RAAS Blockade (ACEi/ARB)</w:t>
              <w:br/>
              <w:t>SGLT2 Inhibitor Therapy</w:t>
              <w:br/>
              <w:t>Target SBP Reduction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Binary (0/1)</w:t>
              <w:br/>
              <w:t>Binary (0/1)</w:t>
              <w:br/>
              <w:t>Continuous ΔmmHg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Exogenous control inputs for What-If counterfactual simulator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Demographics &amp; Prior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Age, Biological Sex, Race</w:t>
              <w:br/>
              <w:t>Baseline Diabetes &amp; CVD History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Years, Binary</w:t>
              <w:br/>
              <w:t>Binary indicators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color w:val="232323"/>
                <w:sz w:val="17"/>
              </w:rPr>
              <w:t>Static contextual conditioning for latent encoder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4284B"/>
          <w:sz w:val="27"/>
        </w:rPr>
        <w:t>8. Technical Stack &amp; Interactive Clinician Dashboard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Tech Stack: </w:t>
      </w:r>
      <w:r>
        <w:rPr>
          <w:rFonts w:ascii="Calibri" w:hAnsi="Calibri"/>
          <w:color w:val="232323"/>
          <w:sz w:val="20"/>
        </w:rPr>
        <w:t>Python 3.10+, PyTorch / PyTorch Lightning, SciPy (matrix exponential expm), PyDMD, SHAP, Streamlit, and Plotly.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View 1 (Patient Trajectory &amp; Risk Status): </w:t>
      </w:r>
      <w:r>
        <w:rPr>
          <w:rFonts w:ascii="Calibri" w:hAnsi="Calibri"/>
          <w:color w:val="232323"/>
          <w:sz w:val="20"/>
        </w:rPr>
        <w:t>Plots historical visits and continuous 3, 6, and 12-month predicted curves with shaded 95% Conformal confidence bands. Prominently displays the Risk Badge: 🟢 Stable | 🟡 Moderate | 🔴 Rapid Progressor.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View 2 ('What-If' Counterfactual Treatment Simulator): </w:t>
      </w:r>
      <w:r>
        <w:rPr>
          <w:rFonts w:ascii="Calibri" w:hAnsi="Calibri"/>
          <w:color w:val="232323"/>
          <w:sz w:val="20"/>
        </w:rPr>
        <w:t>Provides interactive sliders for SBP reduction and medication toggles (ACEi/ARB, SGLT2i). In real time, the dashboard updates the forecasted trajectory curve via ΔTrajectory = B · Δu, calculating the extra years of dialysis-free life gained.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232323"/>
          <w:sz w:val="20"/>
        </w:rPr>
        <w:t xml:space="preserve">View 3 (Dual-Layer Explainability Panel): </w:t>
      </w:r>
      <w:r>
        <w:rPr>
          <w:rFonts w:ascii="Calibri" w:hAnsi="Calibri"/>
          <w:color w:val="232323"/>
          <w:sz w:val="20"/>
        </w:rPr>
        <w:t>Displays spectral eigenvalue stability (Matrix A) alongside a SHAP waterfall plot showing which clinical factors drove the forecast.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