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7799" w14:textId="62901F1A" w:rsidR="005E12D7" w:rsidRDefault="00C47DBC">
      <w:pPr>
        <w:rPr>
          <w:rFonts w:ascii="Times New Roman" w:hAnsi="Times New Roman" w:cs="Times New Roman"/>
          <w:b/>
          <w:bCs/>
          <w:lang w:val="en-US"/>
        </w:rPr>
      </w:pPr>
      <w:r w:rsidRPr="00C47DBC">
        <w:rPr>
          <w:rFonts w:ascii="Times New Roman" w:hAnsi="Times New Roman" w:cs="Times New Roman"/>
          <w:lang w:val="en-US"/>
        </w:rPr>
        <w:t xml:space="preserve">                                 </w:t>
      </w:r>
      <w:r w:rsidRPr="00C47DBC">
        <w:rPr>
          <w:rFonts w:ascii="Times New Roman" w:hAnsi="Times New Roman" w:cs="Times New Roman"/>
          <w:b/>
          <w:bCs/>
          <w:lang w:val="en-US"/>
        </w:rPr>
        <w:t>Stakeholder Analysis and Engagement Strategy</w:t>
      </w:r>
    </w:p>
    <w:p w14:paraId="5A69BB78" w14:textId="1A87C102" w:rsidR="00C47DBC" w:rsidRDefault="00C47DBC">
      <w:pPr>
        <w:rPr>
          <w:rFonts w:ascii="Times New Roman" w:hAnsi="Times New Roman" w:cs="Times New Roman"/>
          <w:b/>
          <w:bCs/>
          <w:lang w:val="en-US"/>
        </w:rPr>
      </w:pPr>
      <w:r>
        <w:rPr>
          <w:rFonts w:ascii="Times New Roman" w:hAnsi="Times New Roman" w:cs="Times New Roman"/>
          <w:b/>
          <w:bCs/>
          <w:lang w:val="en-US"/>
        </w:rPr>
        <w:t>Objective</w:t>
      </w:r>
    </w:p>
    <w:p w14:paraId="0F3EDB99" w14:textId="77777777" w:rsidR="00E363D8" w:rsidRPr="00E363D8" w:rsidRDefault="00E363D8" w:rsidP="00E363D8">
      <w:pPr>
        <w:rPr>
          <w:rFonts w:ascii="Times New Roman" w:hAnsi="Times New Roman" w:cs="Times New Roman"/>
        </w:rPr>
      </w:pPr>
      <w:r w:rsidRPr="00E363D8">
        <w:rPr>
          <w:rFonts w:ascii="Times New Roman" w:hAnsi="Times New Roman" w:cs="Times New Roman"/>
        </w:rPr>
        <w:t>The purpose of this stakeholder analysis is to identify key stakeholders involved in NHS outpatient services, understand their roles, expectations, influence, and concerns, and define an appropriate engagement approach to ensure project success. Effective stakeholder engagement is critical to improving outpatient scheduling efficiency, reducing waiting times, and enhancing patient experience.</w:t>
      </w:r>
    </w:p>
    <w:p w14:paraId="6B14B7B9" w14:textId="29DA01E6" w:rsidR="00C47DBC" w:rsidRPr="00017F88" w:rsidRDefault="00017F88">
      <w:pPr>
        <w:rPr>
          <w:rFonts w:ascii="Times New Roman" w:hAnsi="Times New Roman" w:cs="Times New Roman"/>
          <w:b/>
          <w:bCs/>
          <w:lang w:val="en-US"/>
        </w:rPr>
      </w:pPr>
      <w:r w:rsidRPr="00017F88">
        <w:rPr>
          <w:rFonts w:ascii="Times New Roman" w:hAnsi="Times New Roman" w:cs="Times New Roman"/>
          <w:b/>
          <w:bCs/>
          <w:lang w:val="en-US"/>
        </w:rPr>
        <w:t>Stakeholder Identification and Analysis</w:t>
      </w:r>
    </w:p>
    <w:tbl>
      <w:tblPr>
        <w:tblW w:w="10100" w:type="dxa"/>
        <w:tblLook w:val="04A0" w:firstRow="1" w:lastRow="0" w:firstColumn="1" w:lastColumn="0" w:noHBand="0" w:noVBand="1"/>
      </w:tblPr>
      <w:tblGrid>
        <w:gridCol w:w="2147"/>
        <w:gridCol w:w="2586"/>
        <w:gridCol w:w="2506"/>
        <w:gridCol w:w="1765"/>
        <w:gridCol w:w="1096"/>
      </w:tblGrid>
      <w:tr w:rsidR="001F4646" w:rsidRPr="001F4646" w14:paraId="000968B7" w14:textId="77777777" w:rsidTr="001F4646">
        <w:trPr>
          <w:trHeight w:val="564"/>
        </w:trPr>
        <w:tc>
          <w:tcPr>
            <w:tcW w:w="2180" w:type="dxa"/>
            <w:tcBorders>
              <w:top w:val="single" w:sz="4" w:space="0" w:color="auto"/>
              <w:left w:val="single" w:sz="4" w:space="0" w:color="auto"/>
              <w:bottom w:val="single" w:sz="4" w:space="0" w:color="auto"/>
              <w:right w:val="single" w:sz="4" w:space="0" w:color="auto"/>
            </w:tcBorders>
            <w:vAlign w:val="bottom"/>
            <w:hideMark/>
          </w:tcPr>
          <w:p w14:paraId="45EFB749"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 xml:space="preserve">         Stakeholder</w:t>
            </w:r>
          </w:p>
        </w:tc>
        <w:tc>
          <w:tcPr>
            <w:tcW w:w="2620" w:type="dxa"/>
            <w:tcBorders>
              <w:top w:val="single" w:sz="4" w:space="0" w:color="auto"/>
              <w:left w:val="nil"/>
              <w:bottom w:val="single" w:sz="4" w:space="0" w:color="auto"/>
              <w:right w:val="single" w:sz="4" w:space="0" w:color="auto"/>
            </w:tcBorders>
            <w:vAlign w:val="bottom"/>
            <w:hideMark/>
          </w:tcPr>
          <w:p w14:paraId="1857468F"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Role/Responsibility</w:t>
            </w:r>
          </w:p>
        </w:tc>
        <w:tc>
          <w:tcPr>
            <w:tcW w:w="2560" w:type="dxa"/>
            <w:tcBorders>
              <w:top w:val="single" w:sz="4" w:space="0" w:color="auto"/>
              <w:left w:val="nil"/>
              <w:bottom w:val="single" w:sz="4" w:space="0" w:color="auto"/>
              <w:right w:val="single" w:sz="4" w:space="0" w:color="auto"/>
            </w:tcBorders>
            <w:vAlign w:val="bottom"/>
            <w:hideMark/>
          </w:tcPr>
          <w:p w14:paraId="673AAA06"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Key Interests and Expectations</w:t>
            </w:r>
          </w:p>
        </w:tc>
        <w:tc>
          <w:tcPr>
            <w:tcW w:w="1780" w:type="dxa"/>
            <w:tcBorders>
              <w:top w:val="single" w:sz="4" w:space="0" w:color="auto"/>
              <w:left w:val="nil"/>
              <w:bottom w:val="single" w:sz="4" w:space="0" w:color="auto"/>
              <w:right w:val="single" w:sz="4" w:space="0" w:color="auto"/>
            </w:tcBorders>
            <w:vAlign w:val="bottom"/>
            <w:hideMark/>
          </w:tcPr>
          <w:p w14:paraId="50998C5C"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Concerns / Pain Points</w:t>
            </w:r>
          </w:p>
        </w:tc>
        <w:tc>
          <w:tcPr>
            <w:tcW w:w="960" w:type="dxa"/>
            <w:tcBorders>
              <w:top w:val="single" w:sz="4" w:space="0" w:color="auto"/>
              <w:left w:val="nil"/>
              <w:bottom w:val="single" w:sz="4" w:space="0" w:color="auto"/>
              <w:right w:val="single" w:sz="4" w:space="0" w:color="auto"/>
            </w:tcBorders>
            <w:noWrap/>
            <w:vAlign w:val="bottom"/>
            <w:hideMark/>
          </w:tcPr>
          <w:p w14:paraId="2DAA79A5"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Influence</w:t>
            </w:r>
          </w:p>
        </w:tc>
      </w:tr>
      <w:tr w:rsidR="001F4646" w:rsidRPr="001F4646" w14:paraId="60E38A0A" w14:textId="77777777" w:rsidTr="001F4646">
        <w:trPr>
          <w:trHeight w:val="1116"/>
        </w:trPr>
        <w:tc>
          <w:tcPr>
            <w:tcW w:w="2180" w:type="dxa"/>
            <w:tcBorders>
              <w:top w:val="nil"/>
              <w:left w:val="single" w:sz="4" w:space="0" w:color="auto"/>
              <w:bottom w:val="single" w:sz="4" w:space="0" w:color="auto"/>
              <w:right w:val="single" w:sz="4" w:space="0" w:color="auto"/>
            </w:tcBorders>
            <w:vAlign w:val="bottom"/>
            <w:hideMark/>
          </w:tcPr>
          <w:p w14:paraId="0402E9AF"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NHS Trust Management</w:t>
            </w:r>
          </w:p>
        </w:tc>
        <w:tc>
          <w:tcPr>
            <w:tcW w:w="2620" w:type="dxa"/>
            <w:tcBorders>
              <w:top w:val="nil"/>
              <w:left w:val="nil"/>
              <w:bottom w:val="single" w:sz="4" w:space="0" w:color="auto"/>
              <w:right w:val="single" w:sz="4" w:space="0" w:color="auto"/>
            </w:tcBorders>
            <w:vAlign w:val="bottom"/>
            <w:hideMark/>
          </w:tcPr>
          <w:p w14:paraId="7ECB90B3"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Strategic oversight, funding approvals, performance monitoring</w:t>
            </w:r>
          </w:p>
        </w:tc>
        <w:tc>
          <w:tcPr>
            <w:tcW w:w="2560" w:type="dxa"/>
            <w:tcBorders>
              <w:top w:val="nil"/>
              <w:left w:val="nil"/>
              <w:bottom w:val="single" w:sz="4" w:space="0" w:color="auto"/>
              <w:right w:val="single" w:sz="4" w:space="0" w:color="auto"/>
            </w:tcBorders>
            <w:vAlign w:val="bottom"/>
            <w:hideMark/>
          </w:tcPr>
          <w:p w14:paraId="627B1E60"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Reduced waiting times, improved service efficiency, compliance with NHS targets</w:t>
            </w:r>
          </w:p>
        </w:tc>
        <w:tc>
          <w:tcPr>
            <w:tcW w:w="1780" w:type="dxa"/>
            <w:tcBorders>
              <w:top w:val="nil"/>
              <w:left w:val="nil"/>
              <w:bottom w:val="single" w:sz="4" w:space="0" w:color="auto"/>
              <w:right w:val="single" w:sz="4" w:space="0" w:color="auto"/>
            </w:tcBorders>
            <w:vAlign w:val="bottom"/>
            <w:hideMark/>
          </w:tcPr>
          <w:p w14:paraId="2849408A"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Budget constraints, reputational risk, operational disruptions</w:t>
            </w:r>
          </w:p>
        </w:tc>
        <w:tc>
          <w:tcPr>
            <w:tcW w:w="960" w:type="dxa"/>
            <w:tcBorders>
              <w:top w:val="nil"/>
              <w:left w:val="nil"/>
              <w:bottom w:val="single" w:sz="4" w:space="0" w:color="auto"/>
              <w:right w:val="single" w:sz="4" w:space="0" w:color="auto"/>
            </w:tcBorders>
            <w:noWrap/>
            <w:vAlign w:val="bottom"/>
            <w:hideMark/>
          </w:tcPr>
          <w:p w14:paraId="1D3DA4AF"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High</w:t>
            </w:r>
          </w:p>
        </w:tc>
      </w:tr>
      <w:tr w:rsidR="001F4646" w:rsidRPr="001F4646" w14:paraId="146324EC" w14:textId="77777777" w:rsidTr="001F4646">
        <w:trPr>
          <w:trHeight w:val="1116"/>
        </w:trPr>
        <w:tc>
          <w:tcPr>
            <w:tcW w:w="2180" w:type="dxa"/>
            <w:tcBorders>
              <w:top w:val="nil"/>
              <w:left w:val="single" w:sz="4" w:space="0" w:color="auto"/>
              <w:bottom w:val="single" w:sz="4" w:space="0" w:color="auto"/>
              <w:right w:val="single" w:sz="4" w:space="0" w:color="auto"/>
            </w:tcBorders>
            <w:vAlign w:val="bottom"/>
            <w:hideMark/>
          </w:tcPr>
          <w:p w14:paraId="143391E1"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Outpatient Clinic Manager</w:t>
            </w:r>
          </w:p>
        </w:tc>
        <w:tc>
          <w:tcPr>
            <w:tcW w:w="2620" w:type="dxa"/>
            <w:tcBorders>
              <w:top w:val="nil"/>
              <w:left w:val="nil"/>
              <w:bottom w:val="single" w:sz="4" w:space="0" w:color="auto"/>
              <w:right w:val="single" w:sz="4" w:space="0" w:color="auto"/>
            </w:tcBorders>
            <w:vAlign w:val="bottom"/>
            <w:hideMark/>
          </w:tcPr>
          <w:p w14:paraId="19701BF7"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Day-to-day clinic operations and staff coordination</w:t>
            </w:r>
          </w:p>
        </w:tc>
        <w:tc>
          <w:tcPr>
            <w:tcW w:w="2560" w:type="dxa"/>
            <w:tcBorders>
              <w:top w:val="nil"/>
              <w:left w:val="nil"/>
              <w:bottom w:val="single" w:sz="4" w:space="0" w:color="auto"/>
              <w:right w:val="single" w:sz="4" w:space="0" w:color="auto"/>
            </w:tcBorders>
            <w:vAlign w:val="bottom"/>
            <w:hideMark/>
          </w:tcPr>
          <w:p w14:paraId="7CED812F"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Optimized schedules, efficient resource utilization, smoother workflows</w:t>
            </w:r>
          </w:p>
        </w:tc>
        <w:tc>
          <w:tcPr>
            <w:tcW w:w="1780" w:type="dxa"/>
            <w:tcBorders>
              <w:top w:val="nil"/>
              <w:left w:val="nil"/>
              <w:bottom w:val="single" w:sz="4" w:space="0" w:color="auto"/>
              <w:right w:val="single" w:sz="4" w:space="0" w:color="auto"/>
            </w:tcBorders>
            <w:vAlign w:val="bottom"/>
            <w:hideMark/>
          </w:tcPr>
          <w:p w14:paraId="3E81D997"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Overbookings, staff shortages, appointment no-shows</w:t>
            </w:r>
          </w:p>
        </w:tc>
        <w:tc>
          <w:tcPr>
            <w:tcW w:w="960" w:type="dxa"/>
            <w:tcBorders>
              <w:top w:val="nil"/>
              <w:left w:val="nil"/>
              <w:bottom w:val="single" w:sz="4" w:space="0" w:color="auto"/>
              <w:right w:val="single" w:sz="4" w:space="0" w:color="auto"/>
            </w:tcBorders>
            <w:noWrap/>
            <w:vAlign w:val="bottom"/>
            <w:hideMark/>
          </w:tcPr>
          <w:p w14:paraId="168556E4"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High</w:t>
            </w:r>
          </w:p>
        </w:tc>
      </w:tr>
      <w:tr w:rsidR="001F4646" w:rsidRPr="001F4646" w14:paraId="57587DA0" w14:textId="77777777" w:rsidTr="001F4646">
        <w:trPr>
          <w:trHeight w:val="1116"/>
        </w:trPr>
        <w:tc>
          <w:tcPr>
            <w:tcW w:w="2180" w:type="dxa"/>
            <w:tcBorders>
              <w:top w:val="nil"/>
              <w:left w:val="single" w:sz="4" w:space="0" w:color="auto"/>
              <w:bottom w:val="single" w:sz="4" w:space="0" w:color="auto"/>
              <w:right w:val="single" w:sz="4" w:space="0" w:color="auto"/>
            </w:tcBorders>
            <w:vAlign w:val="bottom"/>
            <w:hideMark/>
          </w:tcPr>
          <w:p w14:paraId="3A8C3F23"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Consultants / Specialists</w:t>
            </w:r>
          </w:p>
        </w:tc>
        <w:tc>
          <w:tcPr>
            <w:tcW w:w="2620" w:type="dxa"/>
            <w:tcBorders>
              <w:top w:val="nil"/>
              <w:left w:val="nil"/>
              <w:bottom w:val="single" w:sz="4" w:space="0" w:color="auto"/>
              <w:right w:val="single" w:sz="4" w:space="0" w:color="auto"/>
            </w:tcBorders>
            <w:vAlign w:val="bottom"/>
            <w:hideMark/>
          </w:tcPr>
          <w:p w14:paraId="315EED8B"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Provide clinical services during outpatient appointments</w:t>
            </w:r>
          </w:p>
        </w:tc>
        <w:tc>
          <w:tcPr>
            <w:tcW w:w="2560" w:type="dxa"/>
            <w:tcBorders>
              <w:top w:val="nil"/>
              <w:left w:val="nil"/>
              <w:bottom w:val="single" w:sz="4" w:space="0" w:color="auto"/>
              <w:right w:val="single" w:sz="4" w:space="0" w:color="auto"/>
            </w:tcBorders>
            <w:vAlign w:val="bottom"/>
            <w:hideMark/>
          </w:tcPr>
          <w:p w14:paraId="21CBC072"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Balanced workloads, minimal schedule disruptions, adequate consultation time</w:t>
            </w:r>
          </w:p>
        </w:tc>
        <w:tc>
          <w:tcPr>
            <w:tcW w:w="1780" w:type="dxa"/>
            <w:tcBorders>
              <w:top w:val="nil"/>
              <w:left w:val="nil"/>
              <w:bottom w:val="single" w:sz="4" w:space="0" w:color="auto"/>
              <w:right w:val="single" w:sz="4" w:space="0" w:color="auto"/>
            </w:tcBorders>
            <w:vAlign w:val="bottom"/>
            <w:hideMark/>
          </w:tcPr>
          <w:p w14:paraId="20A28BD0"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Overcrowded clinics, inefficient scheduling</w:t>
            </w:r>
          </w:p>
        </w:tc>
        <w:tc>
          <w:tcPr>
            <w:tcW w:w="960" w:type="dxa"/>
            <w:tcBorders>
              <w:top w:val="nil"/>
              <w:left w:val="nil"/>
              <w:bottom w:val="single" w:sz="4" w:space="0" w:color="auto"/>
              <w:right w:val="single" w:sz="4" w:space="0" w:color="auto"/>
            </w:tcBorders>
            <w:vAlign w:val="bottom"/>
            <w:hideMark/>
          </w:tcPr>
          <w:p w14:paraId="16DA7F76"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Medium-High</w:t>
            </w:r>
          </w:p>
        </w:tc>
      </w:tr>
      <w:tr w:rsidR="001F4646" w:rsidRPr="001F4646" w14:paraId="07C6DE6A" w14:textId="77777777" w:rsidTr="001F4646">
        <w:trPr>
          <w:trHeight w:val="828"/>
        </w:trPr>
        <w:tc>
          <w:tcPr>
            <w:tcW w:w="2180" w:type="dxa"/>
            <w:tcBorders>
              <w:top w:val="nil"/>
              <w:left w:val="single" w:sz="4" w:space="0" w:color="auto"/>
              <w:bottom w:val="single" w:sz="4" w:space="0" w:color="auto"/>
              <w:right w:val="single" w:sz="4" w:space="0" w:color="auto"/>
            </w:tcBorders>
            <w:vAlign w:val="center"/>
            <w:hideMark/>
          </w:tcPr>
          <w:p w14:paraId="78D83FF5"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Scheduling / Administrative Staff</w:t>
            </w:r>
          </w:p>
        </w:tc>
        <w:tc>
          <w:tcPr>
            <w:tcW w:w="2620" w:type="dxa"/>
            <w:tcBorders>
              <w:top w:val="nil"/>
              <w:left w:val="nil"/>
              <w:bottom w:val="single" w:sz="4" w:space="0" w:color="auto"/>
              <w:right w:val="single" w:sz="4" w:space="0" w:color="auto"/>
            </w:tcBorders>
            <w:vAlign w:val="center"/>
            <w:hideMark/>
          </w:tcPr>
          <w:p w14:paraId="1B1A9C3B"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Manage appointment bookings, cancellations, and patient communication</w:t>
            </w:r>
          </w:p>
        </w:tc>
        <w:tc>
          <w:tcPr>
            <w:tcW w:w="2560" w:type="dxa"/>
            <w:tcBorders>
              <w:top w:val="nil"/>
              <w:left w:val="nil"/>
              <w:bottom w:val="single" w:sz="4" w:space="0" w:color="auto"/>
              <w:right w:val="single" w:sz="4" w:space="0" w:color="auto"/>
            </w:tcBorders>
            <w:vAlign w:val="center"/>
            <w:hideMark/>
          </w:tcPr>
          <w:p w14:paraId="66E85195"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Clear scheduling processes, reliable systems, reduced manual work</w:t>
            </w:r>
          </w:p>
        </w:tc>
        <w:tc>
          <w:tcPr>
            <w:tcW w:w="1780" w:type="dxa"/>
            <w:tcBorders>
              <w:top w:val="nil"/>
              <w:left w:val="nil"/>
              <w:bottom w:val="single" w:sz="4" w:space="0" w:color="auto"/>
              <w:right w:val="single" w:sz="4" w:space="0" w:color="auto"/>
            </w:tcBorders>
            <w:vAlign w:val="center"/>
            <w:hideMark/>
          </w:tcPr>
          <w:p w14:paraId="798EAC46"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System limitations, frequent last-minute changes</w:t>
            </w:r>
          </w:p>
        </w:tc>
        <w:tc>
          <w:tcPr>
            <w:tcW w:w="960" w:type="dxa"/>
            <w:tcBorders>
              <w:top w:val="nil"/>
              <w:left w:val="nil"/>
              <w:bottom w:val="single" w:sz="4" w:space="0" w:color="auto"/>
              <w:right w:val="single" w:sz="4" w:space="0" w:color="auto"/>
            </w:tcBorders>
            <w:vAlign w:val="center"/>
            <w:hideMark/>
          </w:tcPr>
          <w:p w14:paraId="7173EFE3"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Medium</w:t>
            </w:r>
          </w:p>
        </w:tc>
      </w:tr>
      <w:tr w:rsidR="001F4646" w:rsidRPr="001F4646" w14:paraId="5B01D8C0" w14:textId="77777777" w:rsidTr="001F4646">
        <w:trPr>
          <w:trHeight w:val="1104"/>
        </w:trPr>
        <w:tc>
          <w:tcPr>
            <w:tcW w:w="2180" w:type="dxa"/>
            <w:tcBorders>
              <w:top w:val="nil"/>
              <w:left w:val="single" w:sz="4" w:space="0" w:color="auto"/>
              <w:bottom w:val="single" w:sz="4" w:space="0" w:color="auto"/>
              <w:right w:val="single" w:sz="4" w:space="0" w:color="auto"/>
            </w:tcBorders>
            <w:vAlign w:val="center"/>
            <w:hideMark/>
          </w:tcPr>
          <w:p w14:paraId="734F413A"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Patients</w:t>
            </w:r>
          </w:p>
        </w:tc>
        <w:tc>
          <w:tcPr>
            <w:tcW w:w="2620" w:type="dxa"/>
            <w:tcBorders>
              <w:top w:val="nil"/>
              <w:left w:val="nil"/>
              <w:bottom w:val="single" w:sz="4" w:space="0" w:color="auto"/>
              <w:right w:val="single" w:sz="4" w:space="0" w:color="auto"/>
            </w:tcBorders>
            <w:vAlign w:val="center"/>
            <w:hideMark/>
          </w:tcPr>
          <w:p w14:paraId="42863B2B"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End users receiving outpatient care</w:t>
            </w:r>
          </w:p>
        </w:tc>
        <w:tc>
          <w:tcPr>
            <w:tcW w:w="2560" w:type="dxa"/>
            <w:tcBorders>
              <w:top w:val="nil"/>
              <w:left w:val="nil"/>
              <w:bottom w:val="single" w:sz="4" w:space="0" w:color="auto"/>
              <w:right w:val="single" w:sz="4" w:space="0" w:color="auto"/>
            </w:tcBorders>
            <w:vAlign w:val="center"/>
            <w:hideMark/>
          </w:tcPr>
          <w:p w14:paraId="3298A615"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Shorter waiting times, clear communication, timely appointments</w:t>
            </w:r>
          </w:p>
        </w:tc>
        <w:tc>
          <w:tcPr>
            <w:tcW w:w="1780" w:type="dxa"/>
            <w:tcBorders>
              <w:top w:val="nil"/>
              <w:left w:val="nil"/>
              <w:bottom w:val="single" w:sz="4" w:space="0" w:color="auto"/>
              <w:right w:val="single" w:sz="4" w:space="0" w:color="auto"/>
            </w:tcBorders>
            <w:vAlign w:val="center"/>
            <w:hideMark/>
          </w:tcPr>
          <w:p w14:paraId="252835B8"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Long delays, appointment rescheduling, lack of transparency</w:t>
            </w:r>
          </w:p>
        </w:tc>
        <w:tc>
          <w:tcPr>
            <w:tcW w:w="960" w:type="dxa"/>
            <w:tcBorders>
              <w:top w:val="nil"/>
              <w:left w:val="nil"/>
              <w:bottom w:val="single" w:sz="4" w:space="0" w:color="auto"/>
              <w:right w:val="single" w:sz="4" w:space="0" w:color="auto"/>
            </w:tcBorders>
            <w:vAlign w:val="center"/>
            <w:hideMark/>
          </w:tcPr>
          <w:p w14:paraId="12A18F44"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Low</w:t>
            </w:r>
          </w:p>
        </w:tc>
      </w:tr>
      <w:tr w:rsidR="001F4646" w:rsidRPr="001F4646" w14:paraId="2008CF64" w14:textId="77777777" w:rsidTr="001F4646">
        <w:trPr>
          <w:trHeight w:val="1104"/>
        </w:trPr>
        <w:tc>
          <w:tcPr>
            <w:tcW w:w="2180" w:type="dxa"/>
            <w:tcBorders>
              <w:top w:val="nil"/>
              <w:left w:val="single" w:sz="4" w:space="0" w:color="auto"/>
              <w:bottom w:val="single" w:sz="4" w:space="0" w:color="auto"/>
              <w:right w:val="single" w:sz="4" w:space="0" w:color="auto"/>
            </w:tcBorders>
            <w:vAlign w:val="center"/>
            <w:hideMark/>
          </w:tcPr>
          <w:p w14:paraId="70E52EAA"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GP Referrers</w:t>
            </w:r>
          </w:p>
        </w:tc>
        <w:tc>
          <w:tcPr>
            <w:tcW w:w="2620" w:type="dxa"/>
            <w:tcBorders>
              <w:top w:val="nil"/>
              <w:left w:val="nil"/>
              <w:bottom w:val="single" w:sz="4" w:space="0" w:color="auto"/>
              <w:right w:val="single" w:sz="4" w:space="0" w:color="auto"/>
            </w:tcBorders>
            <w:vAlign w:val="center"/>
            <w:hideMark/>
          </w:tcPr>
          <w:p w14:paraId="233C25B2"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Refer patients to outpatient services</w:t>
            </w:r>
          </w:p>
        </w:tc>
        <w:tc>
          <w:tcPr>
            <w:tcW w:w="2560" w:type="dxa"/>
            <w:tcBorders>
              <w:top w:val="nil"/>
              <w:left w:val="nil"/>
              <w:bottom w:val="single" w:sz="4" w:space="0" w:color="auto"/>
              <w:right w:val="single" w:sz="4" w:space="0" w:color="auto"/>
            </w:tcBorders>
            <w:vAlign w:val="center"/>
            <w:hideMark/>
          </w:tcPr>
          <w:p w14:paraId="557EF3E8"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Timely referrals, feedback on patient progress</w:t>
            </w:r>
          </w:p>
        </w:tc>
        <w:tc>
          <w:tcPr>
            <w:tcW w:w="1780" w:type="dxa"/>
            <w:tcBorders>
              <w:top w:val="nil"/>
              <w:left w:val="nil"/>
              <w:bottom w:val="single" w:sz="4" w:space="0" w:color="auto"/>
              <w:right w:val="single" w:sz="4" w:space="0" w:color="auto"/>
            </w:tcBorders>
            <w:vAlign w:val="center"/>
            <w:hideMark/>
          </w:tcPr>
          <w:p w14:paraId="025FE7BF"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Delayed appointments affecting patient care</w:t>
            </w:r>
          </w:p>
        </w:tc>
        <w:tc>
          <w:tcPr>
            <w:tcW w:w="960" w:type="dxa"/>
            <w:tcBorders>
              <w:top w:val="nil"/>
              <w:left w:val="nil"/>
              <w:bottom w:val="single" w:sz="4" w:space="0" w:color="auto"/>
              <w:right w:val="single" w:sz="4" w:space="0" w:color="auto"/>
            </w:tcBorders>
            <w:vAlign w:val="center"/>
            <w:hideMark/>
          </w:tcPr>
          <w:p w14:paraId="344A4368"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Low</w:t>
            </w:r>
          </w:p>
        </w:tc>
      </w:tr>
      <w:tr w:rsidR="001F4646" w:rsidRPr="001F4646" w14:paraId="65C8AC1F" w14:textId="77777777" w:rsidTr="001F4646">
        <w:trPr>
          <w:trHeight w:val="540"/>
        </w:trPr>
        <w:tc>
          <w:tcPr>
            <w:tcW w:w="2180" w:type="dxa"/>
            <w:tcBorders>
              <w:top w:val="nil"/>
              <w:left w:val="single" w:sz="4" w:space="0" w:color="auto"/>
              <w:bottom w:val="single" w:sz="4" w:space="0" w:color="auto"/>
              <w:right w:val="single" w:sz="4" w:space="0" w:color="auto"/>
            </w:tcBorders>
            <w:vAlign w:val="center"/>
            <w:hideMark/>
          </w:tcPr>
          <w:p w14:paraId="0D08FB4F"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Digital / IT Team</w:t>
            </w:r>
          </w:p>
        </w:tc>
        <w:tc>
          <w:tcPr>
            <w:tcW w:w="2620" w:type="dxa"/>
            <w:tcBorders>
              <w:top w:val="nil"/>
              <w:left w:val="nil"/>
              <w:bottom w:val="single" w:sz="4" w:space="0" w:color="auto"/>
              <w:right w:val="single" w:sz="4" w:space="0" w:color="auto"/>
            </w:tcBorders>
            <w:vAlign w:val="center"/>
            <w:hideMark/>
          </w:tcPr>
          <w:p w14:paraId="2C9DC038"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Maintain and enhance scheduling systems</w:t>
            </w:r>
          </w:p>
        </w:tc>
        <w:tc>
          <w:tcPr>
            <w:tcW w:w="2560" w:type="dxa"/>
            <w:tcBorders>
              <w:top w:val="nil"/>
              <w:left w:val="nil"/>
              <w:bottom w:val="single" w:sz="4" w:space="0" w:color="auto"/>
              <w:right w:val="single" w:sz="4" w:space="0" w:color="auto"/>
            </w:tcBorders>
            <w:vAlign w:val="center"/>
            <w:hideMark/>
          </w:tcPr>
          <w:p w14:paraId="3AE3F8DD"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Stable systems, clear requirements, realistic timelines</w:t>
            </w:r>
          </w:p>
        </w:tc>
        <w:tc>
          <w:tcPr>
            <w:tcW w:w="1780" w:type="dxa"/>
            <w:tcBorders>
              <w:top w:val="nil"/>
              <w:left w:val="nil"/>
              <w:bottom w:val="single" w:sz="4" w:space="0" w:color="auto"/>
              <w:right w:val="single" w:sz="4" w:space="0" w:color="auto"/>
            </w:tcBorders>
            <w:vAlign w:val="center"/>
            <w:hideMark/>
          </w:tcPr>
          <w:p w14:paraId="56CF0BED"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Scope creep, unclear requirements</w:t>
            </w:r>
          </w:p>
        </w:tc>
        <w:tc>
          <w:tcPr>
            <w:tcW w:w="960" w:type="dxa"/>
            <w:tcBorders>
              <w:top w:val="nil"/>
              <w:left w:val="nil"/>
              <w:bottom w:val="single" w:sz="4" w:space="0" w:color="auto"/>
              <w:right w:val="single" w:sz="4" w:space="0" w:color="auto"/>
            </w:tcBorders>
            <w:vAlign w:val="center"/>
            <w:hideMark/>
          </w:tcPr>
          <w:p w14:paraId="6009748A"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Medium</w:t>
            </w:r>
          </w:p>
        </w:tc>
      </w:tr>
      <w:tr w:rsidR="001F4646" w:rsidRPr="001F4646" w14:paraId="3F3977A7" w14:textId="77777777" w:rsidTr="001F4646">
        <w:trPr>
          <w:trHeight w:val="828"/>
        </w:trPr>
        <w:tc>
          <w:tcPr>
            <w:tcW w:w="2180" w:type="dxa"/>
            <w:tcBorders>
              <w:top w:val="nil"/>
              <w:left w:val="single" w:sz="4" w:space="0" w:color="auto"/>
              <w:bottom w:val="single" w:sz="4" w:space="0" w:color="auto"/>
              <w:right w:val="single" w:sz="4" w:space="0" w:color="auto"/>
            </w:tcBorders>
            <w:vAlign w:val="center"/>
            <w:hideMark/>
          </w:tcPr>
          <w:p w14:paraId="5E8000DE" w14:textId="77777777" w:rsidR="001F4646" w:rsidRPr="001F4646" w:rsidRDefault="001F4646" w:rsidP="001F4646">
            <w:pPr>
              <w:spacing w:after="0" w:line="240" w:lineRule="auto"/>
              <w:rPr>
                <w:rFonts w:ascii="Times New Roman" w:eastAsia="Times New Roman" w:hAnsi="Times New Roman" w:cs="Times New Roman"/>
                <w:b/>
                <w:bCs/>
                <w:color w:val="000000"/>
                <w:kern w:val="0"/>
                <w:sz w:val="22"/>
                <w:szCs w:val="22"/>
                <w:lang w:eastAsia="en-IN"/>
                <w14:ligatures w14:val="none"/>
              </w:rPr>
            </w:pPr>
            <w:r w:rsidRPr="001F4646">
              <w:rPr>
                <w:rFonts w:ascii="Times New Roman" w:eastAsia="Times New Roman" w:hAnsi="Times New Roman" w:cs="Times New Roman"/>
                <w:b/>
                <w:bCs/>
                <w:color w:val="000000"/>
                <w:kern w:val="0"/>
                <w:sz w:val="22"/>
                <w:szCs w:val="22"/>
                <w:lang w:eastAsia="en-IN"/>
                <w14:ligatures w14:val="none"/>
              </w:rPr>
              <w:t>Data / Analytics Team</w:t>
            </w:r>
          </w:p>
        </w:tc>
        <w:tc>
          <w:tcPr>
            <w:tcW w:w="2620" w:type="dxa"/>
            <w:tcBorders>
              <w:top w:val="nil"/>
              <w:left w:val="nil"/>
              <w:bottom w:val="single" w:sz="4" w:space="0" w:color="auto"/>
              <w:right w:val="single" w:sz="4" w:space="0" w:color="auto"/>
            </w:tcBorders>
            <w:vAlign w:val="center"/>
            <w:hideMark/>
          </w:tcPr>
          <w:p w14:paraId="6FAE3C28"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Reporting, performance tracking, insights generation</w:t>
            </w:r>
          </w:p>
        </w:tc>
        <w:tc>
          <w:tcPr>
            <w:tcW w:w="2560" w:type="dxa"/>
            <w:tcBorders>
              <w:top w:val="nil"/>
              <w:left w:val="nil"/>
              <w:bottom w:val="single" w:sz="4" w:space="0" w:color="auto"/>
              <w:right w:val="single" w:sz="4" w:space="0" w:color="auto"/>
            </w:tcBorders>
            <w:vAlign w:val="center"/>
            <w:hideMark/>
          </w:tcPr>
          <w:p w14:paraId="0A46BFDF"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Access to accurate data, defined KPIs</w:t>
            </w:r>
          </w:p>
        </w:tc>
        <w:tc>
          <w:tcPr>
            <w:tcW w:w="1780" w:type="dxa"/>
            <w:tcBorders>
              <w:top w:val="nil"/>
              <w:left w:val="nil"/>
              <w:bottom w:val="single" w:sz="4" w:space="0" w:color="auto"/>
              <w:right w:val="single" w:sz="4" w:space="0" w:color="auto"/>
            </w:tcBorders>
            <w:vAlign w:val="center"/>
            <w:hideMark/>
          </w:tcPr>
          <w:p w14:paraId="573B92DF"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Poor data quality, inconsistent reporting</w:t>
            </w:r>
          </w:p>
        </w:tc>
        <w:tc>
          <w:tcPr>
            <w:tcW w:w="960" w:type="dxa"/>
            <w:tcBorders>
              <w:top w:val="nil"/>
              <w:left w:val="nil"/>
              <w:bottom w:val="single" w:sz="4" w:space="0" w:color="auto"/>
              <w:right w:val="single" w:sz="4" w:space="0" w:color="auto"/>
            </w:tcBorders>
            <w:vAlign w:val="center"/>
            <w:hideMark/>
          </w:tcPr>
          <w:p w14:paraId="237E4C15" w14:textId="77777777" w:rsidR="001F4646" w:rsidRPr="001F4646" w:rsidRDefault="001F4646" w:rsidP="001F4646">
            <w:pPr>
              <w:spacing w:after="0" w:line="240" w:lineRule="auto"/>
              <w:rPr>
                <w:rFonts w:ascii="Times New Roman" w:eastAsia="Times New Roman" w:hAnsi="Times New Roman" w:cs="Times New Roman"/>
                <w:color w:val="000000"/>
                <w:kern w:val="0"/>
                <w:sz w:val="22"/>
                <w:szCs w:val="22"/>
                <w:lang w:eastAsia="en-IN"/>
                <w14:ligatures w14:val="none"/>
              </w:rPr>
            </w:pPr>
            <w:r w:rsidRPr="001F4646">
              <w:rPr>
                <w:rFonts w:ascii="Times New Roman" w:eastAsia="Times New Roman" w:hAnsi="Times New Roman" w:cs="Times New Roman"/>
                <w:color w:val="000000"/>
                <w:kern w:val="0"/>
                <w:sz w:val="22"/>
                <w:szCs w:val="22"/>
                <w:lang w:eastAsia="en-IN"/>
                <w14:ligatures w14:val="none"/>
              </w:rPr>
              <w:t>Medium</w:t>
            </w:r>
          </w:p>
        </w:tc>
      </w:tr>
    </w:tbl>
    <w:p w14:paraId="0D3D6CC2" w14:textId="77777777" w:rsidR="00017F88" w:rsidRDefault="00017F88">
      <w:pPr>
        <w:rPr>
          <w:rFonts w:ascii="Times New Roman" w:hAnsi="Times New Roman" w:cs="Times New Roman"/>
          <w:lang w:val="en-US"/>
        </w:rPr>
      </w:pPr>
    </w:p>
    <w:p w14:paraId="62141971" w14:textId="77777777" w:rsidR="00C1643F" w:rsidRDefault="00C1643F">
      <w:pPr>
        <w:rPr>
          <w:rFonts w:ascii="Times New Roman" w:hAnsi="Times New Roman" w:cs="Times New Roman"/>
          <w:b/>
          <w:bCs/>
          <w:lang w:val="en-US"/>
        </w:rPr>
      </w:pPr>
    </w:p>
    <w:p w14:paraId="631AC0E6" w14:textId="77777777" w:rsidR="00C1643F" w:rsidRDefault="00C1643F">
      <w:pPr>
        <w:rPr>
          <w:rFonts w:ascii="Times New Roman" w:hAnsi="Times New Roman" w:cs="Times New Roman"/>
          <w:b/>
          <w:bCs/>
          <w:lang w:val="en-US"/>
        </w:rPr>
      </w:pPr>
    </w:p>
    <w:p w14:paraId="1A16D605" w14:textId="3820F318" w:rsidR="00B362A1" w:rsidRPr="00B362A1" w:rsidRDefault="00B362A1">
      <w:pPr>
        <w:rPr>
          <w:rFonts w:ascii="Times New Roman" w:hAnsi="Times New Roman" w:cs="Times New Roman"/>
          <w:b/>
          <w:bCs/>
          <w:lang w:val="en-US"/>
        </w:rPr>
      </w:pPr>
      <w:r w:rsidRPr="00B362A1">
        <w:rPr>
          <w:rFonts w:ascii="Times New Roman" w:hAnsi="Times New Roman" w:cs="Times New Roman"/>
          <w:b/>
          <w:bCs/>
          <w:lang w:val="en-US"/>
        </w:rPr>
        <w:lastRenderedPageBreak/>
        <w:t>Stakeholder Engagement Strategy</w:t>
      </w:r>
    </w:p>
    <w:tbl>
      <w:tblPr>
        <w:tblW w:w="10223" w:type="dxa"/>
        <w:tblInd w:w="-431" w:type="dxa"/>
        <w:tblLook w:val="04A0" w:firstRow="1" w:lastRow="0" w:firstColumn="1" w:lastColumn="0" w:noHBand="0" w:noVBand="1"/>
      </w:tblPr>
      <w:tblGrid>
        <w:gridCol w:w="1732"/>
        <w:gridCol w:w="2460"/>
        <w:gridCol w:w="2098"/>
        <w:gridCol w:w="2244"/>
        <w:gridCol w:w="2036"/>
      </w:tblGrid>
      <w:tr w:rsidR="00C1643F" w:rsidRPr="008553E9" w14:paraId="2FDF3FD2" w14:textId="77777777" w:rsidTr="00C1643F">
        <w:trPr>
          <w:trHeight w:val="1392"/>
        </w:trPr>
        <w:tc>
          <w:tcPr>
            <w:tcW w:w="1385" w:type="dxa"/>
            <w:tcBorders>
              <w:top w:val="single" w:sz="4" w:space="0" w:color="auto"/>
              <w:left w:val="single" w:sz="4" w:space="0" w:color="auto"/>
              <w:bottom w:val="single" w:sz="4" w:space="0" w:color="auto"/>
              <w:right w:val="single" w:sz="4" w:space="0" w:color="auto"/>
            </w:tcBorders>
            <w:vAlign w:val="bottom"/>
            <w:hideMark/>
          </w:tcPr>
          <w:p w14:paraId="569A6996"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 </w:t>
            </w:r>
          </w:p>
        </w:tc>
        <w:tc>
          <w:tcPr>
            <w:tcW w:w="2460" w:type="dxa"/>
            <w:tcBorders>
              <w:top w:val="single" w:sz="4" w:space="0" w:color="auto"/>
              <w:left w:val="nil"/>
              <w:bottom w:val="single" w:sz="4" w:space="0" w:color="auto"/>
              <w:right w:val="single" w:sz="4" w:space="0" w:color="auto"/>
            </w:tcBorders>
            <w:vAlign w:val="bottom"/>
            <w:hideMark/>
          </w:tcPr>
          <w:p w14:paraId="7CD18C5C" w14:textId="77777777" w:rsidR="008553E9" w:rsidRPr="008553E9" w:rsidRDefault="008553E9" w:rsidP="008553E9">
            <w:pPr>
              <w:spacing w:after="0" w:line="240" w:lineRule="auto"/>
              <w:rPr>
                <w:rFonts w:ascii="Times New Roman" w:eastAsia="Times New Roman" w:hAnsi="Times New Roman" w:cs="Times New Roman"/>
                <w:b/>
                <w:bCs/>
                <w:color w:val="000000"/>
                <w:kern w:val="0"/>
                <w:sz w:val="22"/>
                <w:szCs w:val="22"/>
                <w:lang w:eastAsia="en-IN"/>
                <w14:ligatures w14:val="none"/>
              </w:rPr>
            </w:pPr>
            <w:r w:rsidRPr="008553E9">
              <w:rPr>
                <w:rFonts w:ascii="Times New Roman" w:eastAsia="Times New Roman" w:hAnsi="Times New Roman" w:cs="Times New Roman"/>
                <w:b/>
                <w:bCs/>
                <w:color w:val="000000"/>
                <w:kern w:val="0"/>
                <w:sz w:val="22"/>
                <w:szCs w:val="22"/>
                <w:lang w:eastAsia="en-IN"/>
                <w14:ligatures w14:val="none"/>
              </w:rPr>
              <w:t>Manage Closely (High Power, High Interest)</w:t>
            </w:r>
          </w:p>
        </w:tc>
        <w:tc>
          <w:tcPr>
            <w:tcW w:w="2098" w:type="dxa"/>
            <w:tcBorders>
              <w:top w:val="single" w:sz="4" w:space="0" w:color="auto"/>
              <w:left w:val="nil"/>
              <w:bottom w:val="single" w:sz="4" w:space="0" w:color="auto"/>
              <w:right w:val="single" w:sz="4" w:space="0" w:color="auto"/>
            </w:tcBorders>
            <w:vAlign w:val="bottom"/>
            <w:hideMark/>
          </w:tcPr>
          <w:p w14:paraId="0E02A2B5" w14:textId="77777777" w:rsidR="008553E9" w:rsidRPr="008553E9" w:rsidRDefault="008553E9" w:rsidP="008553E9">
            <w:pPr>
              <w:spacing w:after="0" w:line="240" w:lineRule="auto"/>
              <w:rPr>
                <w:rFonts w:ascii="Times New Roman" w:eastAsia="Times New Roman" w:hAnsi="Times New Roman" w:cs="Times New Roman"/>
                <w:b/>
                <w:bCs/>
                <w:color w:val="000000"/>
                <w:kern w:val="0"/>
                <w:sz w:val="22"/>
                <w:szCs w:val="22"/>
                <w:lang w:eastAsia="en-IN"/>
                <w14:ligatures w14:val="none"/>
              </w:rPr>
            </w:pPr>
            <w:r w:rsidRPr="008553E9">
              <w:rPr>
                <w:rFonts w:ascii="Times New Roman" w:eastAsia="Times New Roman" w:hAnsi="Times New Roman" w:cs="Times New Roman"/>
                <w:b/>
                <w:bCs/>
                <w:color w:val="000000"/>
                <w:kern w:val="0"/>
                <w:sz w:val="22"/>
                <w:szCs w:val="22"/>
                <w:lang w:eastAsia="en-IN"/>
                <w14:ligatures w14:val="none"/>
              </w:rPr>
              <w:t>Keep Satisfied (High Power, Lower Interest)</w:t>
            </w:r>
          </w:p>
        </w:tc>
        <w:tc>
          <w:tcPr>
            <w:tcW w:w="2244" w:type="dxa"/>
            <w:tcBorders>
              <w:top w:val="single" w:sz="4" w:space="0" w:color="auto"/>
              <w:left w:val="nil"/>
              <w:bottom w:val="single" w:sz="4" w:space="0" w:color="auto"/>
              <w:right w:val="single" w:sz="4" w:space="0" w:color="auto"/>
            </w:tcBorders>
            <w:vAlign w:val="bottom"/>
            <w:hideMark/>
          </w:tcPr>
          <w:p w14:paraId="1628A1D8" w14:textId="77777777" w:rsidR="008553E9" w:rsidRPr="008553E9" w:rsidRDefault="008553E9" w:rsidP="008553E9">
            <w:pPr>
              <w:spacing w:after="0" w:line="240" w:lineRule="auto"/>
              <w:rPr>
                <w:rFonts w:ascii="Times New Roman" w:eastAsia="Times New Roman" w:hAnsi="Times New Roman" w:cs="Times New Roman"/>
                <w:b/>
                <w:bCs/>
                <w:color w:val="000000"/>
                <w:kern w:val="0"/>
                <w:sz w:val="22"/>
                <w:szCs w:val="22"/>
                <w:lang w:eastAsia="en-IN"/>
                <w14:ligatures w14:val="none"/>
              </w:rPr>
            </w:pPr>
            <w:r w:rsidRPr="008553E9">
              <w:rPr>
                <w:rFonts w:ascii="Times New Roman" w:eastAsia="Times New Roman" w:hAnsi="Times New Roman" w:cs="Times New Roman"/>
                <w:b/>
                <w:bCs/>
                <w:color w:val="000000"/>
                <w:kern w:val="0"/>
                <w:sz w:val="22"/>
                <w:szCs w:val="22"/>
                <w:lang w:eastAsia="en-IN"/>
                <w14:ligatures w14:val="none"/>
              </w:rPr>
              <w:t>Keep Informed (Lower Power, High Interest)</w:t>
            </w:r>
          </w:p>
        </w:tc>
        <w:tc>
          <w:tcPr>
            <w:tcW w:w="2036" w:type="dxa"/>
            <w:tcBorders>
              <w:top w:val="single" w:sz="4" w:space="0" w:color="auto"/>
              <w:left w:val="nil"/>
              <w:bottom w:val="single" w:sz="4" w:space="0" w:color="auto"/>
              <w:right w:val="single" w:sz="4" w:space="0" w:color="auto"/>
            </w:tcBorders>
            <w:vAlign w:val="bottom"/>
            <w:hideMark/>
          </w:tcPr>
          <w:p w14:paraId="2FD595C4" w14:textId="77777777" w:rsidR="008553E9" w:rsidRPr="008553E9" w:rsidRDefault="008553E9" w:rsidP="008553E9">
            <w:pPr>
              <w:spacing w:after="0" w:line="240" w:lineRule="auto"/>
              <w:rPr>
                <w:rFonts w:ascii="Times New Roman" w:eastAsia="Times New Roman" w:hAnsi="Times New Roman" w:cs="Times New Roman"/>
                <w:b/>
                <w:bCs/>
                <w:color w:val="000000"/>
                <w:kern w:val="0"/>
                <w:sz w:val="22"/>
                <w:szCs w:val="22"/>
                <w:lang w:eastAsia="en-IN"/>
                <w14:ligatures w14:val="none"/>
              </w:rPr>
            </w:pPr>
            <w:r w:rsidRPr="008553E9">
              <w:rPr>
                <w:rFonts w:ascii="Times New Roman" w:eastAsia="Times New Roman" w:hAnsi="Times New Roman" w:cs="Times New Roman"/>
                <w:b/>
                <w:bCs/>
                <w:color w:val="000000"/>
                <w:kern w:val="0"/>
                <w:sz w:val="22"/>
                <w:szCs w:val="22"/>
                <w:lang w:eastAsia="en-IN"/>
                <w14:ligatures w14:val="none"/>
              </w:rPr>
              <w:t>Monitor (Low Power, Low Interest)</w:t>
            </w:r>
          </w:p>
        </w:tc>
      </w:tr>
      <w:tr w:rsidR="00C1643F" w:rsidRPr="008553E9" w14:paraId="73B3C0E9" w14:textId="77777777" w:rsidTr="00C1643F">
        <w:trPr>
          <w:trHeight w:val="1392"/>
        </w:trPr>
        <w:tc>
          <w:tcPr>
            <w:tcW w:w="1385" w:type="dxa"/>
            <w:tcBorders>
              <w:top w:val="nil"/>
              <w:left w:val="single" w:sz="4" w:space="0" w:color="auto"/>
              <w:bottom w:val="single" w:sz="4" w:space="0" w:color="auto"/>
              <w:right w:val="single" w:sz="4" w:space="0" w:color="auto"/>
            </w:tcBorders>
            <w:vAlign w:val="bottom"/>
            <w:hideMark/>
          </w:tcPr>
          <w:p w14:paraId="22A016EF" w14:textId="77777777" w:rsidR="008553E9" w:rsidRPr="008553E9" w:rsidRDefault="008553E9" w:rsidP="008553E9">
            <w:pPr>
              <w:spacing w:after="0" w:line="240" w:lineRule="auto"/>
              <w:rPr>
                <w:rFonts w:ascii="Times New Roman" w:eastAsia="Times New Roman" w:hAnsi="Times New Roman" w:cs="Times New Roman"/>
                <w:b/>
                <w:bCs/>
                <w:color w:val="000000"/>
                <w:kern w:val="0"/>
                <w:sz w:val="22"/>
                <w:szCs w:val="22"/>
                <w:lang w:eastAsia="en-IN"/>
                <w14:ligatures w14:val="none"/>
              </w:rPr>
            </w:pPr>
            <w:r w:rsidRPr="008553E9">
              <w:rPr>
                <w:rFonts w:ascii="Times New Roman" w:eastAsia="Times New Roman" w:hAnsi="Times New Roman" w:cs="Times New Roman"/>
                <w:b/>
                <w:bCs/>
                <w:color w:val="000000"/>
                <w:kern w:val="0"/>
                <w:sz w:val="22"/>
                <w:szCs w:val="22"/>
                <w:lang w:eastAsia="en-IN"/>
                <w14:ligatures w14:val="none"/>
              </w:rPr>
              <w:t>Stakeholders</w:t>
            </w:r>
          </w:p>
        </w:tc>
        <w:tc>
          <w:tcPr>
            <w:tcW w:w="2460" w:type="dxa"/>
            <w:tcBorders>
              <w:top w:val="nil"/>
              <w:left w:val="nil"/>
              <w:bottom w:val="single" w:sz="4" w:space="0" w:color="auto"/>
              <w:right w:val="single" w:sz="4" w:space="0" w:color="auto"/>
            </w:tcBorders>
            <w:vAlign w:val="bottom"/>
            <w:hideMark/>
          </w:tcPr>
          <w:p w14:paraId="729C98C7"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NHS Trust Management, Outpatient Clinic Manager</w:t>
            </w:r>
          </w:p>
        </w:tc>
        <w:tc>
          <w:tcPr>
            <w:tcW w:w="2098" w:type="dxa"/>
            <w:tcBorders>
              <w:top w:val="nil"/>
              <w:left w:val="nil"/>
              <w:bottom w:val="single" w:sz="4" w:space="0" w:color="auto"/>
              <w:right w:val="single" w:sz="4" w:space="0" w:color="auto"/>
            </w:tcBorders>
            <w:vAlign w:val="bottom"/>
            <w:hideMark/>
          </w:tcPr>
          <w:p w14:paraId="7C9DEED8"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Consultants / Specialists</w:t>
            </w:r>
          </w:p>
        </w:tc>
        <w:tc>
          <w:tcPr>
            <w:tcW w:w="2244" w:type="dxa"/>
            <w:tcBorders>
              <w:top w:val="nil"/>
              <w:left w:val="nil"/>
              <w:bottom w:val="single" w:sz="4" w:space="0" w:color="auto"/>
              <w:right w:val="single" w:sz="4" w:space="0" w:color="auto"/>
            </w:tcBorders>
            <w:vAlign w:val="bottom"/>
            <w:hideMark/>
          </w:tcPr>
          <w:p w14:paraId="51E0CBAE"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Scheduling/Admin Staff, Digital/IT Team, Data/Analytics Team</w:t>
            </w:r>
          </w:p>
        </w:tc>
        <w:tc>
          <w:tcPr>
            <w:tcW w:w="2036" w:type="dxa"/>
            <w:tcBorders>
              <w:top w:val="nil"/>
              <w:left w:val="nil"/>
              <w:bottom w:val="single" w:sz="4" w:space="0" w:color="auto"/>
              <w:right w:val="single" w:sz="4" w:space="0" w:color="auto"/>
            </w:tcBorders>
            <w:vAlign w:val="bottom"/>
            <w:hideMark/>
          </w:tcPr>
          <w:p w14:paraId="37F2ABC0"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Patients, GP Referrers</w:t>
            </w:r>
          </w:p>
        </w:tc>
      </w:tr>
      <w:tr w:rsidR="00C1643F" w:rsidRPr="008553E9" w14:paraId="49D27126" w14:textId="77777777" w:rsidTr="00C1643F">
        <w:trPr>
          <w:trHeight w:val="3600"/>
        </w:trPr>
        <w:tc>
          <w:tcPr>
            <w:tcW w:w="1385" w:type="dxa"/>
            <w:tcBorders>
              <w:top w:val="nil"/>
              <w:left w:val="single" w:sz="4" w:space="0" w:color="auto"/>
              <w:bottom w:val="single" w:sz="4" w:space="0" w:color="auto"/>
              <w:right w:val="single" w:sz="4" w:space="0" w:color="auto"/>
            </w:tcBorders>
            <w:vAlign w:val="bottom"/>
            <w:hideMark/>
          </w:tcPr>
          <w:p w14:paraId="51FC9484" w14:textId="77777777" w:rsidR="008553E9" w:rsidRPr="008553E9" w:rsidRDefault="008553E9" w:rsidP="008553E9">
            <w:pPr>
              <w:spacing w:after="0" w:line="240" w:lineRule="auto"/>
              <w:rPr>
                <w:rFonts w:ascii="Times New Roman" w:eastAsia="Times New Roman" w:hAnsi="Times New Roman" w:cs="Times New Roman"/>
                <w:b/>
                <w:bCs/>
                <w:color w:val="000000"/>
                <w:kern w:val="0"/>
                <w:sz w:val="22"/>
                <w:szCs w:val="22"/>
                <w:lang w:eastAsia="en-IN"/>
                <w14:ligatures w14:val="none"/>
              </w:rPr>
            </w:pPr>
            <w:r w:rsidRPr="008553E9">
              <w:rPr>
                <w:rFonts w:ascii="Times New Roman" w:eastAsia="Times New Roman" w:hAnsi="Times New Roman" w:cs="Times New Roman"/>
                <w:b/>
                <w:bCs/>
                <w:color w:val="000000"/>
                <w:kern w:val="0"/>
                <w:sz w:val="22"/>
                <w:szCs w:val="22"/>
                <w:lang w:eastAsia="en-IN"/>
                <w14:ligatures w14:val="none"/>
              </w:rPr>
              <w:t>Engagement Approach</w:t>
            </w:r>
          </w:p>
        </w:tc>
        <w:tc>
          <w:tcPr>
            <w:tcW w:w="2460" w:type="dxa"/>
            <w:tcBorders>
              <w:top w:val="nil"/>
              <w:left w:val="nil"/>
              <w:bottom w:val="single" w:sz="4" w:space="0" w:color="auto"/>
              <w:right w:val="single" w:sz="4" w:space="0" w:color="auto"/>
            </w:tcBorders>
            <w:vAlign w:val="bottom"/>
            <w:hideMark/>
          </w:tcPr>
          <w:p w14:paraId="5D703022" w14:textId="77777777" w:rsidR="006F4683" w:rsidRDefault="008553E9" w:rsidP="006F4683">
            <w:pPr>
              <w:pStyle w:val="ListParagraph"/>
              <w:numPr>
                <w:ilvl w:val="0"/>
                <w:numId w:val="2"/>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Regular progress updates and review meetings</w:t>
            </w:r>
            <w:r w:rsidRPr="006F4683">
              <w:rPr>
                <w:rFonts w:ascii="Times New Roman" w:eastAsia="Times New Roman" w:hAnsi="Times New Roman" w:cs="Times New Roman"/>
                <w:color w:val="000000"/>
                <w:kern w:val="0"/>
                <w:sz w:val="22"/>
                <w:szCs w:val="22"/>
                <w:lang w:eastAsia="en-IN"/>
                <w14:ligatures w14:val="none"/>
              </w:rPr>
              <w:br/>
            </w:r>
          </w:p>
          <w:p w14:paraId="456ACEC8" w14:textId="77777777" w:rsidR="006F4683" w:rsidRDefault="008553E9" w:rsidP="006F4683">
            <w:pPr>
              <w:pStyle w:val="ListParagraph"/>
              <w:numPr>
                <w:ilvl w:val="0"/>
                <w:numId w:val="2"/>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Involvement in key decision-making</w:t>
            </w:r>
            <w:r w:rsidRPr="006F4683">
              <w:rPr>
                <w:rFonts w:ascii="Times New Roman" w:eastAsia="Times New Roman" w:hAnsi="Times New Roman" w:cs="Times New Roman"/>
                <w:color w:val="000000"/>
                <w:kern w:val="0"/>
                <w:sz w:val="22"/>
                <w:szCs w:val="22"/>
                <w:lang w:eastAsia="en-IN"/>
                <w14:ligatures w14:val="none"/>
              </w:rPr>
              <w:br/>
            </w:r>
          </w:p>
          <w:p w14:paraId="61DA7F1E" w14:textId="1E7D3BC6" w:rsidR="008553E9" w:rsidRPr="006F4683" w:rsidRDefault="008553E9" w:rsidP="006F4683">
            <w:pPr>
              <w:pStyle w:val="ListParagraph"/>
              <w:numPr>
                <w:ilvl w:val="0"/>
                <w:numId w:val="2"/>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Validation of requirements and proposed solutions</w:t>
            </w:r>
          </w:p>
        </w:tc>
        <w:tc>
          <w:tcPr>
            <w:tcW w:w="2098" w:type="dxa"/>
            <w:tcBorders>
              <w:top w:val="nil"/>
              <w:left w:val="nil"/>
              <w:bottom w:val="single" w:sz="4" w:space="0" w:color="auto"/>
              <w:right w:val="single" w:sz="4" w:space="0" w:color="auto"/>
            </w:tcBorders>
            <w:vAlign w:val="bottom"/>
            <w:hideMark/>
          </w:tcPr>
          <w:p w14:paraId="1CF76CFE" w14:textId="77777777" w:rsidR="006F4683" w:rsidRDefault="008553E9" w:rsidP="006F4683">
            <w:pPr>
              <w:pStyle w:val="ListParagraph"/>
              <w:numPr>
                <w:ilvl w:val="0"/>
                <w:numId w:val="3"/>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Periodic consultations to gather feedback</w:t>
            </w:r>
            <w:r w:rsidRPr="006F4683">
              <w:rPr>
                <w:rFonts w:ascii="Times New Roman" w:eastAsia="Times New Roman" w:hAnsi="Times New Roman" w:cs="Times New Roman"/>
                <w:color w:val="000000"/>
                <w:kern w:val="0"/>
                <w:sz w:val="22"/>
                <w:szCs w:val="22"/>
                <w:lang w:eastAsia="en-IN"/>
                <w14:ligatures w14:val="none"/>
              </w:rPr>
              <w:br/>
            </w:r>
          </w:p>
          <w:p w14:paraId="164B82B5" w14:textId="4426BB97" w:rsidR="008553E9" w:rsidRPr="006F4683" w:rsidRDefault="008553E9" w:rsidP="006F4683">
            <w:pPr>
              <w:pStyle w:val="ListParagraph"/>
              <w:numPr>
                <w:ilvl w:val="0"/>
                <w:numId w:val="3"/>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Ensure clinical workflows are minimally disrupted</w:t>
            </w:r>
          </w:p>
        </w:tc>
        <w:tc>
          <w:tcPr>
            <w:tcW w:w="2244" w:type="dxa"/>
            <w:tcBorders>
              <w:top w:val="nil"/>
              <w:left w:val="nil"/>
              <w:bottom w:val="single" w:sz="4" w:space="0" w:color="auto"/>
              <w:right w:val="single" w:sz="4" w:space="0" w:color="auto"/>
            </w:tcBorders>
            <w:vAlign w:val="bottom"/>
            <w:hideMark/>
          </w:tcPr>
          <w:p w14:paraId="4BF85AFD" w14:textId="77777777" w:rsidR="00C1643F" w:rsidRDefault="008553E9" w:rsidP="006F4683">
            <w:pPr>
              <w:pStyle w:val="ListParagraph"/>
              <w:numPr>
                <w:ilvl w:val="0"/>
                <w:numId w:val="4"/>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Workshops and requirement clarification sessions</w:t>
            </w:r>
            <w:r w:rsidRPr="006F4683">
              <w:rPr>
                <w:rFonts w:ascii="Times New Roman" w:eastAsia="Times New Roman" w:hAnsi="Times New Roman" w:cs="Times New Roman"/>
                <w:color w:val="000000"/>
                <w:kern w:val="0"/>
                <w:sz w:val="22"/>
                <w:szCs w:val="22"/>
                <w:lang w:eastAsia="en-IN"/>
                <w14:ligatures w14:val="none"/>
              </w:rPr>
              <w:br/>
            </w:r>
          </w:p>
          <w:p w14:paraId="46E6CD65" w14:textId="77777777" w:rsidR="00C1643F" w:rsidRDefault="008553E9" w:rsidP="006F4683">
            <w:pPr>
              <w:pStyle w:val="ListParagraph"/>
              <w:numPr>
                <w:ilvl w:val="0"/>
                <w:numId w:val="4"/>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Clear documentation and process walkthroughs</w:t>
            </w:r>
            <w:r w:rsidRPr="006F4683">
              <w:rPr>
                <w:rFonts w:ascii="Times New Roman" w:eastAsia="Times New Roman" w:hAnsi="Times New Roman" w:cs="Times New Roman"/>
                <w:color w:val="000000"/>
                <w:kern w:val="0"/>
                <w:sz w:val="22"/>
                <w:szCs w:val="22"/>
                <w:lang w:eastAsia="en-IN"/>
                <w14:ligatures w14:val="none"/>
              </w:rPr>
              <w:br/>
            </w:r>
          </w:p>
          <w:p w14:paraId="69E2274D" w14:textId="2D58E8C6" w:rsidR="008553E9" w:rsidRPr="006F4683" w:rsidRDefault="008553E9" w:rsidP="006F4683">
            <w:pPr>
              <w:pStyle w:val="ListParagraph"/>
              <w:numPr>
                <w:ilvl w:val="0"/>
                <w:numId w:val="4"/>
              </w:numPr>
              <w:spacing w:after="0" w:line="240" w:lineRule="auto"/>
              <w:rPr>
                <w:rFonts w:ascii="Times New Roman" w:eastAsia="Times New Roman" w:hAnsi="Times New Roman" w:cs="Times New Roman"/>
                <w:color w:val="000000"/>
                <w:kern w:val="0"/>
                <w:sz w:val="22"/>
                <w:szCs w:val="22"/>
                <w:lang w:eastAsia="en-IN"/>
                <w14:ligatures w14:val="none"/>
              </w:rPr>
            </w:pPr>
            <w:r w:rsidRPr="006F4683">
              <w:rPr>
                <w:rFonts w:ascii="Times New Roman" w:eastAsia="Times New Roman" w:hAnsi="Times New Roman" w:cs="Times New Roman"/>
                <w:color w:val="000000"/>
                <w:kern w:val="0"/>
                <w:sz w:val="22"/>
                <w:szCs w:val="22"/>
                <w:lang w:eastAsia="en-IN"/>
                <w14:ligatures w14:val="none"/>
              </w:rPr>
              <w:t>Feedback loops during solution design</w:t>
            </w:r>
          </w:p>
        </w:tc>
        <w:tc>
          <w:tcPr>
            <w:tcW w:w="2036" w:type="dxa"/>
            <w:tcBorders>
              <w:top w:val="nil"/>
              <w:left w:val="nil"/>
              <w:bottom w:val="single" w:sz="4" w:space="0" w:color="auto"/>
              <w:right w:val="single" w:sz="4" w:space="0" w:color="auto"/>
            </w:tcBorders>
            <w:vAlign w:val="bottom"/>
            <w:hideMark/>
          </w:tcPr>
          <w:p w14:paraId="76492F02" w14:textId="77777777" w:rsidR="00C1643F" w:rsidRDefault="008553E9" w:rsidP="00C1643F">
            <w:pPr>
              <w:pStyle w:val="ListParagraph"/>
              <w:numPr>
                <w:ilvl w:val="0"/>
                <w:numId w:val="5"/>
              </w:numPr>
              <w:spacing w:after="0" w:line="240" w:lineRule="auto"/>
              <w:rPr>
                <w:rFonts w:ascii="Times New Roman" w:eastAsia="Times New Roman" w:hAnsi="Times New Roman" w:cs="Times New Roman"/>
                <w:color w:val="000000"/>
                <w:kern w:val="0"/>
                <w:sz w:val="22"/>
                <w:szCs w:val="22"/>
                <w:lang w:eastAsia="en-IN"/>
                <w14:ligatures w14:val="none"/>
              </w:rPr>
            </w:pPr>
            <w:r w:rsidRPr="00C1643F">
              <w:rPr>
                <w:rFonts w:ascii="Times New Roman" w:eastAsia="Times New Roman" w:hAnsi="Times New Roman" w:cs="Times New Roman"/>
                <w:color w:val="000000"/>
                <w:kern w:val="0"/>
                <w:sz w:val="22"/>
                <w:szCs w:val="22"/>
                <w:lang w:eastAsia="en-IN"/>
                <w14:ligatures w14:val="none"/>
              </w:rPr>
              <w:t>Surveys and feedback mechanisms</w:t>
            </w:r>
            <w:r w:rsidRPr="00C1643F">
              <w:rPr>
                <w:rFonts w:ascii="Times New Roman" w:eastAsia="Times New Roman" w:hAnsi="Times New Roman" w:cs="Times New Roman"/>
                <w:color w:val="000000"/>
                <w:kern w:val="0"/>
                <w:sz w:val="22"/>
                <w:szCs w:val="22"/>
                <w:lang w:eastAsia="en-IN"/>
                <w14:ligatures w14:val="none"/>
              </w:rPr>
              <w:br/>
            </w:r>
          </w:p>
          <w:p w14:paraId="240AB51A" w14:textId="02F46EBE" w:rsidR="008553E9" w:rsidRPr="00C1643F" w:rsidRDefault="008553E9" w:rsidP="00C1643F">
            <w:pPr>
              <w:pStyle w:val="ListParagraph"/>
              <w:numPr>
                <w:ilvl w:val="0"/>
                <w:numId w:val="5"/>
              </w:numPr>
              <w:spacing w:after="0" w:line="240" w:lineRule="auto"/>
              <w:rPr>
                <w:rFonts w:ascii="Times New Roman" w:eastAsia="Times New Roman" w:hAnsi="Times New Roman" w:cs="Times New Roman"/>
                <w:color w:val="000000"/>
                <w:kern w:val="0"/>
                <w:sz w:val="22"/>
                <w:szCs w:val="22"/>
                <w:lang w:eastAsia="en-IN"/>
                <w14:ligatures w14:val="none"/>
              </w:rPr>
            </w:pPr>
            <w:r w:rsidRPr="00C1643F">
              <w:rPr>
                <w:rFonts w:ascii="Times New Roman" w:eastAsia="Times New Roman" w:hAnsi="Times New Roman" w:cs="Times New Roman"/>
                <w:color w:val="000000"/>
                <w:kern w:val="0"/>
                <w:sz w:val="22"/>
                <w:szCs w:val="22"/>
                <w:lang w:eastAsia="en-IN"/>
                <w14:ligatures w14:val="none"/>
              </w:rPr>
              <w:t>Service notifications and status updates</w:t>
            </w:r>
          </w:p>
        </w:tc>
      </w:tr>
      <w:tr w:rsidR="00C1643F" w:rsidRPr="008553E9" w14:paraId="1D2A402D" w14:textId="77777777" w:rsidTr="00C1643F">
        <w:trPr>
          <w:trHeight w:val="564"/>
        </w:trPr>
        <w:tc>
          <w:tcPr>
            <w:tcW w:w="1385" w:type="dxa"/>
            <w:tcBorders>
              <w:top w:val="nil"/>
              <w:left w:val="single" w:sz="4" w:space="0" w:color="auto"/>
              <w:bottom w:val="single" w:sz="4" w:space="0" w:color="auto"/>
              <w:right w:val="single" w:sz="4" w:space="0" w:color="auto"/>
            </w:tcBorders>
            <w:vAlign w:val="bottom"/>
            <w:hideMark/>
          </w:tcPr>
          <w:p w14:paraId="294B9C51" w14:textId="77777777" w:rsidR="008553E9" w:rsidRPr="008553E9" w:rsidRDefault="008553E9" w:rsidP="008553E9">
            <w:pPr>
              <w:spacing w:after="0" w:line="240" w:lineRule="auto"/>
              <w:rPr>
                <w:rFonts w:ascii="Times New Roman" w:eastAsia="Times New Roman" w:hAnsi="Times New Roman" w:cs="Times New Roman"/>
                <w:b/>
                <w:bCs/>
                <w:color w:val="000000"/>
                <w:kern w:val="0"/>
                <w:sz w:val="22"/>
                <w:szCs w:val="22"/>
                <w:lang w:eastAsia="en-IN"/>
                <w14:ligatures w14:val="none"/>
              </w:rPr>
            </w:pPr>
            <w:r w:rsidRPr="008553E9">
              <w:rPr>
                <w:rFonts w:ascii="Times New Roman" w:eastAsia="Times New Roman" w:hAnsi="Times New Roman" w:cs="Times New Roman"/>
                <w:b/>
                <w:bCs/>
                <w:color w:val="000000"/>
                <w:kern w:val="0"/>
                <w:sz w:val="22"/>
                <w:szCs w:val="22"/>
                <w:lang w:eastAsia="en-IN"/>
                <w14:ligatures w14:val="none"/>
              </w:rPr>
              <w:t>Communication Frequency</w:t>
            </w:r>
          </w:p>
        </w:tc>
        <w:tc>
          <w:tcPr>
            <w:tcW w:w="2460" w:type="dxa"/>
            <w:tcBorders>
              <w:top w:val="nil"/>
              <w:left w:val="nil"/>
              <w:bottom w:val="single" w:sz="4" w:space="0" w:color="auto"/>
              <w:right w:val="single" w:sz="4" w:space="0" w:color="auto"/>
            </w:tcBorders>
            <w:noWrap/>
            <w:vAlign w:val="bottom"/>
            <w:hideMark/>
          </w:tcPr>
          <w:p w14:paraId="54B89D46"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Weekly / Bi-weekly</w:t>
            </w:r>
          </w:p>
        </w:tc>
        <w:tc>
          <w:tcPr>
            <w:tcW w:w="2098" w:type="dxa"/>
            <w:tcBorders>
              <w:top w:val="nil"/>
              <w:left w:val="nil"/>
              <w:bottom w:val="single" w:sz="4" w:space="0" w:color="auto"/>
              <w:right w:val="single" w:sz="4" w:space="0" w:color="auto"/>
            </w:tcBorders>
            <w:vAlign w:val="bottom"/>
            <w:hideMark/>
          </w:tcPr>
          <w:p w14:paraId="49767C11"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Monthly or milestone-based</w:t>
            </w:r>
          </w:p>
        </w:tc>
        <w:tc>
          <w:tcPr>
            <w:tcW w:w="2244" w:type="dxa"/>
            <w:tcBorders>
              <w:top w:val="nil"/>
              <w:left w:val="nil"/>
              <w:bottom w:val="single" w:sz="4" w:space="0" w:color="auto"/>
              <w:right w:val="single" w:sz="4" w:space="0" w:color="auto"/>
            </w:tcBorders>
            <w:vAlign w:val="bottom"/>
            <w:hideMark/>
          </w:tcPr>
          <w:p w14:paraId="618278C2"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Weekly during active phases</w:t>
            </w:r>
          </w:p>
        </w:tc>
        <w:tc>
          <w:tcPr>
            <w:tcW w:w="2036" w:type="dxa"/>
            <w:tcBorders>
              <w:top w:val="nil"/>
              <w:left w:val="nil"/>
              <w:bottom w:val="single" w:sz="4" w:space="0" w:color="auto"/>
              <w:right w:val="single" w:sz="4" w:space="0" w:color="auto"/>
            </w:tcBorders>
            <w:noWrap/>
            <w:vAlign w:val="bottom"/>
            <w:hideMark/>
          </w:tcPr>
          <w:p w14:paraId="655F897C" w14:textId="77777777" w:rsidR="008553E9" w:rsidRPr="008553E9" w:rsidRDefault="008553E9" w:rsidP="008553E9">
            <w:pPr>
              <w:spacing w:after="0" w:line="240" w:lineRule="auto"/>
              <w:rPr>
                <w:rFonts w:ascii="Times New Roman" w:eastAsia="Times New Roman" w:hAnsi="Times New Roman" w:cs="Times New Roman"/>
                <w:color w:val="000000"/>
                <w:kern w:val="0"/>
                <w:sz w:val="22"/>
                <w:szCs w:val="22"/>
                <w:lang w:eastAsia="en-IN"/>
                <w14:ligatures w14:val="none"/>
              </w:rPr>
            </w:pPr>
            <w:r w:rsidRPr="008553E9">
              <w:rPr>
                <w:rFonts w:ascii="Times New Roman" w:eastAsia="Times New Roman" w:hAnsi="Times New Roman" w:cs="Times New Roman"/>
                <w:color w:val="000000"/>
                <w:kern w:val="0"/>
                <w:sz w:val="22"/>
                <w:szCs w:val="22"/>
                <w:lang w:eastAsia="en-IN"/>
                <w14:ligatures w14:val="none"/>
              </w:rPr>
              <w:t>As needed</w:t>
            </w:r>
          </w:p>
        </w:tc>
      </w:tr>
    </w:tbl>
    <w:p w14:paraId="676EF830" w14:textId="77777777" w:rsidR="00B362A1" w:rsidRDefault="00B362A1">
      <w:pPr>
        <w:rPr>
          <w:rFonts w:ascii="Times New Roman" w:hAnsi="Times New Roman" w:cs="Times New Roman"/>
          <w:lang w:val="en-US"/>
        </w:rPr>
      </w:pPr>
    </w:p>
    <w:p w14:paraId="59E19671" w14:textId="77777777" w:rsidR="00B025E0" w:rsidRPr="00B025E0" w:rsidRDefault="00B025E0" w:rsidP="00B025E0">
      <w:pPr>
        <w:rPr>
          <w:rFonts w:ascii="Times New Roman" w:hAnsi="Times New Roman" w:cs="Times New Roman"/>
          <w:b/>
          <w:bCs/>
        </w:rPr>
      </w:pPr>
      <w:r w:rsidRPr="00B025E0">
        <w:rPr>
          <w:rFonts w:ascii="Times New Roman" w:hAnsi="Times New Roman" w:cs="Times New Roman"/>
          <w:b/>
          <w:bCs/>
        </w:rPr>
        <w:t>Conclusion</w:t>
      </w:r>
    </w:p>
    <w:p w14:paraId="3E555ECB" w14:textId="77777777" w:rsidR="00B025E0" w:rsidRPr="00B025E0" w:rsidRDefault="00B025E0" w:rsidP="00B025E0">
      <w:pPr>
        <w:rPr>
          <w:rFonts w:ascii="Times New Roman" w:hAnsi="Times New Roman" w:cs="Times New Roman"/>
        </w:rPr>
      </w:pPr>
      <w:r w:rsidRPr="00B025E0">
        <w:rPr>
          <w:rFonts w:ascii="Times New Roman" w:hAnsi="Times New Roman" w:cs="Times New Roman"/>
        </w:rPr>
        <w:t>A structured stakeholder analysis ensures that the needs of both operational and strategic stakeholders are understood and addressed. By applying a targeted engagement strategy, this project aims to align business objectives with clinical and patient-centric outcomes, ultimately supporting improved outpatient service delivery within the NHS.</w:t>
      </w:r>
    </w:p>
    <w:p w14:paraId="3B013508" w14:textId="77777777" w:rsidR="00B025E0" w:rsidRPr="00C47DBC" w:rsidRDefault="00B025E0">
      <w:pPr>
        <w:rPr>
          <w:rFonts w:ascii="Times New Roman" w:hAnsi="Times New Roman" w:cs="Times New Roman"/>
          <w:lang w:val="en-US"/>
        </w:rPr>
      </w:pPr>
    </w:p>
    <w:sectPr w:rsidR="00B025E0" w:rsidRPr="00C47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1836"/>
    <w:multiLevelType w:val="hybridMultilevel"/>
    <w:tmpl w:val="28965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FA2627"/>
    <w:multiLevelType w:val="hybridMultilevel"/>
    <w:tmpl w:val="BBA06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E51AFD"/>
    <w:multiLevelType w:val="hybridMultilevel"/>
    <w:tmpl w:val="FE326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B20856"/>
    <w:multiLevelType w:val="hybridMultilevel"/>
    <w:tmpl w:val="0B2AC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59B53F4"/>
    <w:multiLevelType w:val="hybridMultilevel"/>
    <w:tmpl w:val="EAA42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3988573">
    <w:abstractNumId w:val="1"/>
  </w:num>
  <w:num w:numId="2" w16cid:durableId="3671660">
    <w:abstractNumId w:val="0"/>
  </w:num>
  <w:num w:numId="3" w16cid:durableId="763379300">
    <w:abstractNumId w:val="3"/>
  </w:num>
  <w:num w:numId="4" w16cid:durableId="1435132843">
    <w:abstractNumId w:val="4"/>
  </w:num>
  <w:num w:numId="5" w16cid:durableId="736707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D7"/>
    <w:rsid w:val="00017F88"/>
    <w:rsid w:val="001F4646"/>
    <w:rsid w:val="005E12D7"/>
    <w:rsid w:val="006F4683"/>
    <w:rsid w:val="008553E9"/>
    <w:rsid w:val="00B025E0"/>
    <w:rsid w:val="00B362A1"/>
    <w:rsid w:val="00BE5F03"/>
    <w:rsid w:val="00C1643F"/>
    <w:rsid w:val="00C47DBC"/>
    <w:rsid w:val="00E36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C10A"/>
  <w15:chartTrackingRefBased/>
  <w15:docId w15:val="{FA23E1BA-DC47-45A4-AC5C-9ACFD931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D7"/>
    <w:rPr>
      <w:rFonts w:eastAsiaTheme="majorEastAsia" w:cstheme="majorBidi"/>
      <w:color w:val="272727" w:themeColor="text1" w:themeTint="D8"/>
    </w:rPr>
  </w:style>
  <w:style w:type="paragraph" w:styleId="Title">
    <w:name w:val="Title"/>
    <w:basedOn w:val="Normal"/>
    <w:next w:val="Normal"/>
    <w:link w:val="TitleChar"/>
    <w:uiPriority w:val="10"/>
    <w:qFormat/>
    <w:rsid w:val="005E1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D7"/>
    <w:pPr>
      <w:spacing w:before="160"/>
      <w:jc w:val="center"/>
    </w:pPr>
    <w:rPr>
      <w:i/>
      <w:iCs/>
      <w:color w:val="404040" w:themeColor="text1" w:themeTint="BF"/>
    </w:rPr>
  </w:style>
  <w:style w:type="character" w:customStyle="1" w:styleId="QuoteChar">
    <w:name w:val="Quote Char"/>
    <w:basedOn w:val="DefaultParagraphFont"/>
    <w:link w:val="Quote"/>
    <w:uiPriority w:val="29"/>
    <w:rsid w:val="005E12D7"/>
    <w:rPr>
      <w:i/>
      <w:iCs/>
      <w:color w:val="404040" w:themeColor="text1" w:themeTint="BF"/>
    </w:rPr>
  </w:style>
  <w:style w:type="paragraph" w:styleId="ListParagraph">
    <w:name w:val="List Paragraph"/>
    <w:basedOn w:val="Normal"/>
    <w:uiPriority w:val="34"/>
    <w:qFormat/>
    <w:rsid w:val="005E12D7"/>
    <w:pPr>
      <w:ind w:left="720"/>
      <w:contextualSpacing/>
    </w:pPr>
  </w:style>
  <w:style w:type="character" w:styleId="IntenseEmphasis">
    <w:name w:val="Intense Emphasis"/>
    <w:basedOn w:val="DefaultParagraphFont"/>
    <w:uiPriority w:val="21"/>
    <w:qFormat/>
    <w:rsid w:val="005E12D7"/>
    <w:rPr>
      <w:i/>
      <w:iCs/>
      <w:color w:val="0F4761" w:themeColor="accent1" w:themeShade="BF"/>
    </w:rPr>
  </w:style>
  <w:style w:type="paragraph" w:styleId="IntenseQuote">
    <w:name w:val="Intense Quote"/>
    <w:basedOn w:val="Normal"/>
    <w:next w:val="Normal"/>
    <w:link w:val="IntenseQuoteChar"/>
    <w:uiPriority w:val="30"/>
    <w:qFormat/>
    <w:rsid w:val="005E1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2D7"/>
    <w:rPr>
      <w:i/>
      <w:iCs/>
      <w:color w:val="0F4761" w:themeColor="accent1" w:themeShade="BF"/>
    </w:rPr>
  </w:style>
  <w:style w:type="character" w:styleId="IntenseReference">
    <w:name w:val="Intense Reference"/>
    <w:basedOn w:val="DefaultParagraphFont"/>
    <w:uiPriority w:val="32"/>
    <w:qFormat/>
    <w:rsid w:val="005E12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sangeetharaaghavan18@gmail.com</dc:creator>
  <cp:keywords/>
  <dc:description/>
  <cp:lastModifiedBy>sangeetharaaghavan18@gmail.com</cp:lastModifiedBy>
  <cp:revision>10</cp:revision>
  <dcterms:created xsi:type="dcterms:W3CDTF">2026-01-07T10:04:00Z</dcterms:created>
  <dcterms:modified xsi:type="dcterms:W3CDTF">2026-01-07T10:33:00Z</dcterms:modified>
</cp:coreProperties>
</file>