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4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0944"/>
      </w:tblGrid>
      <w:tr w:rsidR="002C340E" w:rsidRPr="002C340E" w:rsidTr="002C340E">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340E" w:rsidRPr="002C340E" w:rsidRDefault="002C340E" w:rsidP="002C340E">
            <w:pPr>
              <w:spacing w:after="100" w:afterAutospacing="1" w:line="240" w:lineRule="auto"/>
              <w:outlineLvl w:val="4"/>
              <w:rPr>
                <w:rFonts w:ascii="Segoe UI" w:eastAsia="Times New Roman" w:hAnsi="Segoe UI" w:cs="Segoe UI"/>
                <w:color w:val="212529"/>
                <w:sz w:val="20"/>
                <w:szCs w:val="20"/>
              </w:rPr>
            </w:pPr>
            <w:r w:rsidRPr="002C340E">
              <w:rPr>
                <w:rFonts w:ascii="Segoe UI" w:eastAsia="Times New Roman" w:hAnsi="Segoe UI" w:cs="Segoe UI"/>
                <w:color w:val="212529"/>
                <w:sz w:val="20"/>
                <w:szCs w:val="20"/>
              </w:rPr>
              <w:t>Technology Environment and society</w:t>
            </w:r>
          </w:p>
          <w:p w:rsidR="002C340E" w:rsidRPr="002C340E" w:rsidRDefault="002C340E" w:rsidP="002C340E">
            <w:pPr>
              <w:spacing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b/>
                <w:bCs/>
                <w:color w:val="212529"/>
                <w:sz w:val="24"/>
                <w:szCs w:val="24"/>
              </w:rPr>
              <w:t>Course Objectives: </w:t>
            </w:r>
            <w:r w:rsidRPr="002C340E">
              <w:rPr>
                <w:rFonts w:ascii="Segoe UI" w:eastAsia="Times New Roman" w:hAnsi="Segoe UI" w:cs="Segoe UI"/>
                <w:color w:val="212529"/>
                <w:sz w:val="24"/>
                <w:szCs w:val="24"/>
              </w:rPr>
              <w:br/>
              <w:t>The course has been devised to provide knowledge of environment, technology and its impact on society.  It would be helpful to the students to understand the global, national and local environmental issues and challenges of the information society.</w:t>
            </w:r>
          </w:p>
          <w:p w:rsidR="002C340E" w:rsidRPr="002C340E" w:rsidRDefault="002C340E" w:rsidP="002C340E">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b/>
                <w:bCs/>
                <w:color w:val="212529"/>
                <w:sz w:val="24"/>
                <w:szCs w:val="24"/>
              </w:rPr>
              <w:t>Technology (8hours)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Definition,</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Impact of technology on environment &amp; society,</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Benefits of </w:t>
            </w:r>
            <w:proofErr w:type="gramStart"/>
            <w:r w:rsidRPr="002C340E">
              <w:rPr>
                <w:rFonts w:ascii="Segoe UI" w:eastAsia="Times New Roman" w:hAnsi="Segoe UI" w:cs="Segoe UI"/>
                <w:color w:val="212529"/>
                <w:sz w:val="24"/>
                <w:szCs w:val="24"/>
              </w:rPr>
              <w:t>technology  due</w:t>
            </w:r>
            <w:proofErr w:type="gramEnd"/>
            <w:r w:rsidRPr="002C340E">
              <w:rPr>
                <w:rFonts w:ascii="Segoe UI" w:eastAsia="Times New Roman" w:hAnsi="Segoe UI" w:cs="Segoe UI"/>
                <w:color w:val="212529"/>
                <w:sz w:val="24"/>
                <w:szCs w:val="24"/>
              </w:rPr>
              <w:t xml:space="preserve"> to new inventions,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Conflict of technology, technology creates opportunity for society to change</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Appropriate technology, </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Intermediate technology, labor based and </w:t>
            </w:r>
            <w:proofErr w:type="gramStart"/>
            <w:r w:rsidRPr="002C340E">
              <w:rPr>
                <w:rFonts w:ascii="Segoe UI" w:eastAsia="Times New Roman" w:hAnsi="Segoe UI" w:cs="Segoe UI"/>
                <w:color w:val="212529"/>
                <w:sz w:val="24"/>
                <w:szCs w:val="24"/>
              </w:rPr>
              <w:t>labor intensive</w:t>
            </w:r>
            <w:proofErr w:type="gramEnd"/>
            <w:r w:rsidRPr="002C340E">
              <w:rPr>
                <w:rFonts w:ascii="Segoe UI" w:eastAsia="Times New Roman" w:hAnsi="Segoe UI" w:cs="Segoe UI"/>
                <w:color w:val="212529"/>
                <w:sz w:val="24"/>
                <w:szCs w:val="24"/>
              </w:rPr>
              <w:t xml:space="preserve"> technology,</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Shifts in employment due to technological advancement,</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Role of technology to unmask old social problems, society’s control of technology,</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Impact of technology on culture, tradition and social values,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Technology is irreversible,</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Agricultural age, industrial age and information age,</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Characteristics of information society,</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Information as power and wealth </w:t>
            </w:r>
          </w:p>
          <w:p w:rsidR="002C340E" w:rsidRPr="002C340E" w:rsidRDefault="002C340E" w:rsidP="002C340E">
            <w:pPr>
              <w:spacing w:after="0" w:line="240" w:lineRule="auto"/>
              <w:ind w:left="720"/>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br/>
            </w:r>
          </w:p>
          <w:p w:rsidR="002C340E" w:rsidRPr="002C340E" w:rsidRDefault="002C340E" w:rsidP="002C340E">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b/>
                <w:bCs/>
                <w:color w:val="212529"/>
                <w:sz w:val="24"/>
                <w:szCs w:val="24"/>
              </w:rPr>
              <w:t xml:space="preserve">Development </w:t>
            </w:r>
            <w:proofErr w:type="gramStart"/>
            <w:r w:rsidRPr="002C340E">
              <w:rPr>
                <w:rFonts w:ascii="Segoe UI" w:eastAsia="Times New Roman" w:hAnsi="Segoe UI" w:cs="Segoe UI"/>
                <w:b/>
                <w:bCs/>
                <w:color w:val="212529"/>
                <w:sz w:val="24"/>
                <w:szCs w:val="24"/>
              </w:rPr>
              <w:t>approach(</w:t>
            </w:r>
            <w:proofErr w:type="gramEnd"/>
            <w:r w:rsidRPr="002C340E">
              <w:rPr>
                <w:rFonts w:ascii="Segoe UI" w:eastAsia="Times New Roman" w:hAnsi="Segoe UI" w:cs="Segoe UI"/>
                <w:b/>
                <w:bCs/>
                <w:color w:val="212529"/>
                <w:sz w:val="24"/>
                <w:szCs w:val="24"/>
              </w:rPr>
              <w:t>6 hours)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LEP (labor based, environment friendly and participatory),</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Community management, </w:t>
            </w:r>
            <w:proofErr w:type="gramStart"/>
            <w:r w:rsidRPr="002C340E">
              <w:rPr>
                <w:rFonts w:ascii="Segoe UI" w:eastAsia="Times New Roman" w:hAnsi="Segoe UI" w:cs="Segoe UI"/>
                <w:color w:val="212529"/>
                <w:sz w:val="24"/>
                <w:szCs w:val="24"/>
              </w:rPr>
              <w:t>engineers</w:t>
            </w:r>
            <w:proofErr w:type="gramEnd"/>
            <w:r w:rsidRPr="002C340E">
              <w:rPr>
                <w:rFonts w:ascii="Segoe UI" w:eastAsia="Times New Roman" w:hAnsi="Segoe UI" w:cs="Segoe UI"/>
                <w:color w:val="212529"/>
                <w:sz w:val="24"/>
                <w:szCs w:val="24"/>
              </w:rPr>
              <w:t xml:space="preserve"> role as facilitator,</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Key features of infrastructure development policies of Nepal,</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Ethnographic approach to collect </w:t>
            </w:r>
            <w:proofErr w:type="gramStart"/>
            <w:r w:rsidRPr="002C340E">
              <w:rPr>
                <w:rFonts w:ascii="Segoe UI" w:eastAsia="Times New Roman" w:hAnsi="Segoe UI" w:cs="Segoe UI"/>
                <w:color w:val="212529"/>
                <w:sz w:val="24"/>
                <w:szCs w:val="24"/>
              </w:rPr>
              <w:t>information ,</w:t>
            </w:r>
            <w:proofErr w:type="gramEnd"/>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Participatory approach as community </w:t>
            </w:r>
            <w:proofErr w:type="gramStart"/>
            <w:r w:rsidRPr="002C340E">
              <w:rPr>
                <w:rFonts w:ascii="Segoe UI" w:eastAsia="Times New Roman" w:hAnsi="Segoe UI" w:cs="Segoe UI"/>
                <w:color w:val="212529"/>
                <w:sz w:val="24"/>
                <w:szCs w:val="24"/>
              </w:rPr>
              <w:t>empowerment ,</w:t>
            </w:r>
            <w:proofErr w:type="gramEnd"/>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Participatory tools, focus group discussions, key </w:t>
            </w:r>
            <w:proofErr w:type="gramStart"/>
            <w:r w:rsidRPr="002C340E">
              <w:rPr>
                <w:rFonts w:ascii="Segoe UI" w:eastAsia="Times New Roman" w:hAnsi="Segoe UI" w:cs="Segoe UI"/>
                <w:color w:val="212529"/>
                <w:sz w:val="24"/>
                <w:szCs w:val="24"/>
              </w:rPr>
              <w:t>informants</w:t>
            </w:r>
            <w:proofErr w:type="gramEnd"/>
            <w:r w:rsidRPr="002C340E">
              <w:rPr>
                <w:rFonts w:ascii="Segoe UI" w:eastAsia="Times New Roman" w:hAnsi="Segoe UI" w:cs="Segoe UI"/>
                <w:color w:val="212529"/>
                <w:sz w:val="24"/>
                <w:szCs w:val="24"/>
              </w:rPr>
              <w:t xml:space="preserve"> interview,</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Participatory observation, structured questionnaire,</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Resource mapping, wealth ranking, poverty definition    </w:t>
            </w:r>
          </w:p>
          <w:p w:rsidR="002C340E" w:rsidRPr="002C340E" w:rsidRDefault="002C340E" w:rsidP="002C340E">
            <w:pPr>
              <w:spacing w:after="0" w:line="240" w:lineRule="auto"/>
              <w:ind w:left="720"/>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br/>
            </w:r>
          </w:p>
          <w:p w:rsidR="002C340E" w:rsidRPr="002C340E" w:rsidRDefault="002C340E" w:rsidP="002C340E">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b/>
                <w:bCs/>
                <w:color w:val="212529"/>
                <w:sz w:val="24"/>
                <w:szCs w:val="24"/>
              </w:rPr>
              <w:t>Brief history of human civilization (4 hours)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Early civilization,</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Great renaissance of Europe,</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lastRenderedPageBreak/>
              <w:t>Early part of industrial revolution,</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Transformation of industrial society into information society,</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Impact of world war 1 &amp; 2, Population explosion,</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Rise of environmental issues,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Climate change as a threat to human civilization</w:t>
            </w:r>
          </w:p>
          <w:p w:rsidR="002C340E" w:rsidRPr="002C340E" w:rsidRDefault="002C340E" w:rsidP="002C340E">
            <w:pPr>
              <w:spacing w:after="0" w:line="240" w:lineRule="auto"/>
              <w:ind w:left="720"/>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br/>
            </w:r>
          </w:p>
          <w:p w:rsidR="002C340E" w:rsidRPr="002C340E" w:rsidRDefault="002C340E" w:rsidP="002C340E">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b/>
                <w:bCs/>
                <w:color w:val="212529"/>
                <w:sz w:val="24"/>
                <w:szCs w:val="24"/>
              </w:rPr>
              <w:t>Environment (3 hours)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Definition,</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Importance, ecology &amp; ecosystem,</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Conservation of environment,</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Optimum utilization of natural resources,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Renewable and </w:t>
            </w:r>
            <w:proofErr w:type="spellStart"/>
            <w:proofErr w:type="gramStart"/>
            <w:r w:rsidRPr="002C340E">
              <w:rPr>
                <w:rFonts w:ascii="Segoe UI" w:eastAsia="Times New Roman" w:hAnsi="Segoe UI" w:cs="Segoe UI"/>
                <w:color w:val="212529"/>
                <w:sz w:val="24"/>
                <w:szCs w:val="24"/>
              </w:rPr>
              <w:t>non renewable</w:t>
            </w:r>
            <w:proofErr w:type="spellEnd"/>
            <w:proofErr w:type="gramEnd"/>
            <w:r w:rsidRPr="002C340E">
              <w:rPr>
                <w:rFonts w:ascii="Segoe UI" w:eastAsia="Times New Roman" w:hAnsi="Segoe UI" w:cs="Segoe UI"/>
                <w:color w:val="212529"/>
                <w:sz w:val="24"/>
                <w:szCs w:val="24"/>
              </w:rPr>
              <w:t xml:space="preserve"> resources,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Conflict of resources,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Global environmental issues,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Environmental issues of Nepal</w:t>
            </w:r>
          </w:p>
          <w:p w:rsidR="002C340E" w:rsidRPr="002C340E" w:rsidRDefault="002C340E" w:rsidP="002C340E">
            <w:pPr>
              <w:spacing w:after="0" w:line="240" w:lineRule="auto"/>
              <w:ind w:left="720"/>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br/>
            </w:r>
          </w:p>
          <w:p w:rsidR="002C340E" w:rsidRPr="002C340E" w:rsidRDefault="002C340E" w:rsidP="002C340E">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b/>
                <w:bCs/>
                <w:color w:val="212529"/>
                <w:sz w:val="24"/>
                <w:szCs w:val="24"/>
              </w:rPr>
              <w:t> Water and air pollution (6 hours)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Fecal -oral infection transmission route</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Preventive measures,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On site </w:t>
            </w:r>
            <w:proofErr w:type="gramStart"/>
            <w:r w:rsidRPr="002C340E">
              <w:rPr>
                <w:rFonts w:ascii="Segoe UI" w:eastAsia="Times New Roman" w:hAnsi="Segoe UI" w:cs="Segoe UI"/>
                <w:color w:val="212529"/>
                <w:sz w:val="24"/>
                <w:szCs w:val="24"/>
              </w:rPr>
              <w:t>sanitation(</w:t>
            </w:r>
            <w:proofErr w:type="gramEnd"/>
            <w:r w:rsidRPr="002C340E">
              <w:rPr>
                <w:rFonts w:ascii="Segoe UI" w:eastAsia="Times New Roman" w:hAnsi="Segoe UI" w:cs="Segoe UI"/>
                <w:color w:val="212529"/>
                <w:sz w:val="24"/>
                <w:szCs w:val="24"/>
              </w:rPr>
              <w:t>including eco -sanitation),</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Importance of health education,</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Organic pollution,</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Inorganic </w:t>
            </w:r>
            <w:proofErr w:type="gramStart"/>
            <w:r w:rsidRPr="002C340E">
              <w:rPr>
                <w:rFonts w:ascii="Segoe UI" w:eastAsia="Times New Roman" w:hAnsi="Segoe UI" w:cs="Segoe UI"/>
                <w:color w:val="212529"/>
                <w:sz w:val="24"/>
                <w:szCs w:val="24"/>
              </w:rPr>
              <w:t>pollution( nitrate</w:t>
            </w:r>
            <w:proofErr w:type="gramEnd"/>
            <w:r w:rsidRPr="002C340E">
              <w:rPr>
                <w:rFonts w:ascii="Segoe UI" w:eastAsia="Times New Roman" w:hAnsi="Segoe UI" w:cs="Segoe UI"/>
                <w:color w:val="212529"/>
                <w:sz w:val="24"/>
                <w:szCs w:val="24"/>
              </w:rPr>
              <w:t>, fluoride, iron, manganese, calcium arsenic, heavy metals),  water pollution due to insecticides and pesticides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Sources, causes &amp; impacts of </w:t>
            </w:r>
            <w:proofErr w:type="spellStart"/>
            <w:r w:rsidRPr="002C340E">
              <w:rPr>
                <w:rFonts w:ascii="Segoe UI" w:eastAsia="Times New Roman" w:hAnsi="Segoe UI" w:cs="Segoe UI"/>
                <w:color w:val="212529"/>
                <w:sz w:val="24"/>
                <w:szCs w:val="24"/>
              </w:rPr>
              <w:t>airpolution</w:t>
            </w:r>
            <w:proofErr w:type="spellEnd"/>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Mitigation measures,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Indoor air pollution,</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Severity of its problems in Nepal</w:t>
            </w:r>
          </w:p>
          <w:p w:rsidR="002C340E" w:rsidRPr="002C340E" w:rsidRDefault="002C340E" w:rsidP="002C340E">
            <w:pPr>
              <w:spacing w:after="0" w:line="240" w:lineRule="auto"/>
              <w:ind w:left="720"/>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br/>
            </w:r>
          </w:p>
          <w:p w:rsidR="002C340E" w:rsidRPr="002C340E" w:rsidRDefault="002C340E" w:rsidP="002C340E">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b/>
                <w:bCs/>
                <w:color w:val="212529"/>
                <w:sz w:val="24"/>
                <w:szCs w:val="24"/>
              </w:rPr>
              <w:t>Climate change (3 hours)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Definition, causes, impacts,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Mitigation measures,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lastRenderedPageBreak/>
              <w:t>International efforts to mitigate its problems,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Bio –gas, organic farming,</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Deforestation and its consequences,</w:t>
            </w:r>
          </w:p>
          <w:p w:rsidR="002C340E" w:rsidRPr="002C340E" w:rsidRDefault="002C340E" w:rsidP="002C340E">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Importance of national parks, conservation areas and forestation programs in Nepal</w:t>
            </w:r>
          </w:p>
          <w:p w:rsidR="002C340E" w:rsidRPr="002C340E" w:rsidRDefault="002C340E" w:rsidP="002C340E">
            <w:pPr>
              <w:spacing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b/>
                <w:bCs/>
                <w:color w:val="212529"/>
                <w:sz w:val="24"/>
                <w:szCs w:val="24"/>
              </w:rPr>
              <w:t>References:</w:t>
            </w:r>
          </w:p>
          <w:p w:rsidR="002C340E" w:rsidRPr="002C340E" w:rsidRDefault="002C340E" w:rsidP="002C340E">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B. C. </w:t>
            </w:r>
            <w:proofErr w:type="spellStart"/>
            <w:r w:rsidRPr="002C340E">
              <w:rPr>
                <w:rFonts w:ascii="Segoe UI" w:eastAsia="Times New Roman" w:hAnsi="Segoe UI" w:cs="Segoe UI"/>
                <w:color w:val="212529"/>
                <w:sz w:val="24"/>
                <w:szCs w:val="24"/>
              </w:rPr>
              <w:t>Punmia</w:t>
            </w:r>
            <w:proofErr w:type="spellEnd"/>
            <w:r w:rsidRPr="002C340E">
              <w:rPr>
                <w:rFonts w:ascii="Segoe UI" w:eastAsia="Times New Roman" w:hAnsi="Segoe UI" w:cs="Segoe UI"/>
                <w:color w:val="212529"/>
                <w:sz w:val="24"/>
                <w:szCs w:val="24"/>
              </w:rPr>
              <w:t>, Ashok Kumar Jain and Arun Kumar Jain, "Environmental Engineering</w:t>
            </w:r>
            <w:proofErr w:type="gramStart"/>
            <w:r w:rsidRPr="002C340E">
              <w:rPr>
                <w:rFonts w:ascii="Segoe UI" w:eastAsia="Times New Roman" w:hAnsi="Segoe UI" w:cs="Segoe UI"/>
                <w:color w:val="212529"/>
                <w:sz w:val="24"/>
                <w:szCs w:val="24"/>
              </w:rPr>
              <w:t>",  Laxmi</w:t>
            </w:r>
            <w:proofErr w:type="gramEnd"/>
            <w:r w:rsidRPr="002C340E">
              <w:rPr>
                <w:rFonts w:ascii="Segoe UI" w:eastAsia="Times New Roman" w:hAnsi="Segoe UI" w:cs="Segoe UI"/>
                <w:color w:val="212529"/>
                <w:sz w:val="24"/>
                <w:szCs w:val="24"/>
              </w:rPr>
              <w:t xml:space="preserve"> Publications (P) Ltd., New Delhi, 1998</w:t>
            </w:r>
          </w:p>
          <w:p w:rsidR="002C340E" w:rsidRPr="002C340E" w:rsidRDefault="002C340E" w:rsidP="002C340E">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H.G. Wells, "Brief History of Civilization"</w:t>
            </w:r>
          </w:p>
          <w:p w:rsidR="002C340E" w:rsidRPr="002C340E" w:rsidRDefault="002C340E" w:rsidP="002C340E">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t xml:space="preserve">J. </w:t>
            </w:r>
            <w:proofErr w:type="spellStart"/>
            <w:r w:rsidRPr="002C340E">
              <w:rPr>
                <w:rFonts w:ascii="Segoe UI" w:eastAsia="Times New Roman" w:hAnsi="Segoe UI" w:cs="Segoe UI"/>
                <w:color w:val="212529"/>
                <w:sz w:val="24"/>
                <w:szCs w:val="24"/>
              </w:rPr>
              <w:t>Neharu</w:t>
            </w:r>
            <w:proofErr w:type="spellEnd"/>
            <w:r w:rsidRPr="002C340E">
              <w:rPr>
                <w:rFonts w:ascii="Segoe UI" w:eastAsia="Times New Roman" w:hAnsi="Segoe UI" w:cs="Segoe UI"/>
                <w:color w:val="212529"/>
                <w:sz w:val="24"/>
                <w:szCs w:val="24"/>
              </w:rPr>
              <w:t>, "</w:t>
            </w:r>
            <w:proofErr w:type="spellStart"/>
            <w:r w:rsidRPr="002C340E">
              <w:rPr>
                <w:rFonts w:ascii="Segoe UI" w:eastAsia="Times New Roman" w:hAnsi="Segoe UI" w:cs="Segoe UI"/>
                <w:color w:val="212529"/>
                <w:sz w:val="24"/>
                <w:szCs w:val="24"/>
              </w:rPr>
              <w:t>Glimps</w:t>
            </w:r>
            <w:proofErr w:type="spellEnd"/>
            <w:r w:rsidRPr="002C340E">
              <w:rPr>
                <w:rFonts w:ascii="Segoe UI" w:eastAsia="Times New Roman" w:hAnsi="Segoe UI" w:cs="Segoe UI"/>
                <w:color w:val="212529"/>
                <w:sz w:val="24"/>
                <w:szCs w:val="24"/>
              </w:rPr>
              <w:t xml:space="preserve"> of World History"</w:t>
            </w:r>
          </w:p>
          <w:p w:rsidR="002C340E" w:rsidRPr="002C340E" w:rsidRDefault="002C340E" w:rsidP="002C340E">
            <w:pPr>
              <w:spacing w:after="100" w:afterAutospacing="1" w:line="240" w:lineRule="auto"/>
              <w:rPr>
                <w:rFonts w:ascii="Segoe UI" w:eastAsia="Times New Roman" w:hAnsi="Segoe UI" w:cs="Segoe UI"/>
                <w:color w:val="212529"/>
                <w:sz w:val="24"/>
                <w:szCs w:val="24"/>
              </w:rPr>
            </w:pPr>
            <w:r w:rsidRPr="002C340E">
              <w:rPr>
                <w:rFonts w:ascii="Segoe UI" w:eastAsia="Times New Roman" w:hAnsi="Segoe UI" w:cs="Segoe UI"/>
                <w:b/>
                <w:bCs/>
                <w:color w:val="212529"/>
                <w:sz w:val="24"/>
                <w:szCs w:val="24"/>
              </w:rPr>
              <w:t>Examination scheme</w:t>
            </w:r>
            <w:r w:rsidRPr="002C340E">
              <w:rPr>
                <w:rFonts w:ascii="Segoe UI" w:eastAsia="Times New Roman" w:hAnsi="Segoe UI" w:cs="Segoe UI"/>
                <w:color w:val="212529"/>
                <w:sz w:val="24"/>
                <w:szCs w:val="24"/>
              </w:rPr>
              <w:br/>
              <w:t>The question will cover all the chapters in the syllabus. The evaluation scheme will be as indicated in the table below:</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0"/>
              <w:gridCol w:w="795"/>
              <w:gridCol w:w="1530"/>
            </w:tblGrid>
            <w:tr w:rsidR="002C340E" w:rsidRPr="002C340E" w:rsidTr="002C340E">
              <w:tc>
                <w:tcPr>
                  <w:tcW w:w="105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b/>
                      <w:bCs/>
                      <w:sz w:val="24"/>
                      <w:szCs w:val="24"/>
                    </w:rPr>
                    <w:t>Chapters</w:t>
                  </w:r>
                </w:p>
              </w:tc>
              <w:tc>
                <w:tcPr>
                  <w:tcW w:w="795"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b/>
                      <w:bCs/>
                      <w:sz w:val="24"/>
                      <w:szCs w:val="24"/>
                    </w:rPr>
                    <w:t>Hours</w:t>
                  </w:r>
                </w:p>
              </w:tc>
              <w:tc>
                <w:tcPr>
                  <w:tcW w:w="153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b/>
                      <w:bCs/>
                      <w:sz w:val="24"/>
                      <w:szCs w:val="24"/>
                    </w:rPr>
                    <w:t>Marks Distribution*</w:t>
                  </w:r>
                </w:p>
              </w:tc>
            </w:tr>
            <w:tr w:rsidR="002C340E" w:rsidRPr="002C340E" w:rsidTr="002C340E">
              <w:tc>
                <w:tcPr>
                  <w:tcW w:w="105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1</w:t>
                  </w:r>
                </w:p>
              </w:tc>
              <w:tc>
                <w:tcPr>
                  <w:tcW w:w="795"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8</w:t>
                  </w:r>
                </w:p>
              </w:tc>
              <w:tc>
                <w:tcPr>
                  <w:tcW w:w="153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10</w:t>
                  </w:r>
                </w:p>
              </w:tc>
            </w:tr>
            <w:tr w:rsidR="002C340E" w:rsidRPr="002C340E" w:rsidTr="002C340E">
              <w:tc>
                <w:tcPr>
                  <w:tcW w:w="105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2</w:t>
                  </w:r>
                </w:p>
              </w:tc>
              <w:tc>
                <w:tcPr>
                  <w:tcW w:w="795"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6</w:t>
                  </w:r>
                </w:p>
              </w:tc>
              <w:tc>
                <w:tcPr>
                  <w:tcW w:w="153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8</w:t>
                  </w:r>
                </w:p>
              </w:tc>
            </w:tr>
            <w:tr w:rsidR="002C340E" w:rsidRPr="002C340E" w:rsidTr="002C340E">
              <w:tc>
                <w:tcPr>
                  <w:tcW w:w="105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3</w:t>
                  </w:r>
                </w:p>
              </w:tc>
              <w:tc>
                <w:tcPr>
                  <w:tcW w:w="795"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4</w:t>
                  </w:r>
                </w:p>
              </w:tc>
              <w:tc>
                <w:tcPr>
                  <w:tcW w:w="153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4</w:t>
                  </w:r>
                </w:p>
              </w:tc>
            </w:tr>
            <w:tr w:rsidR="002C340E" w:rsidRPr="002C340E" w:rsidTr="002C340E">
              <w:tc>
                <w:tcPr>
                  <w:tcW w:w="105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4</w:t>
                  </w:r>
                </w:p>
              </w:tc>
              <w:tc>
                <w:tcPr>
                  <w:tcW w:w="795"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3</w:t>
                  </w:r>
                </w:p>
              </w:tc>
              <w:tc>
                <w:tcPr>
                  <w:tcW w:w="153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4</w:t>
                  </w:r>
                </w:p>
              </w:tc>
            </w:tr>
            <w:tr w:rsidR="002C340E" w:rsidRPr="002C340E" w:rsidTr="002C340E">
              <w:tc>
                <w:tcPr>
                  <w:tcW w:w="105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5</w:t>
                  </w:r>
                </w:p>
              </w:tc>
              <w:tc>
                <w:tcPr>
                  <w:tcW w:w="795"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6</w:t>
                  </w:r>
                </w:p>
              </w:tc>
              <w:tc>
                <w:tcPr>
                  <w:tcW w:w="153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10</w:t>
                  </w:r>
                </w:p>
              </w:tc>
            </w:tr>
            <w:tr w:rsidR="002C340E" w:rsidRPr="002C340E" w:rsidTr="002C340E">
              <w:tc>
                <w:tcPr>
                  <w:tcW w:w="105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6</w:t>
                  </w:r>
                </w:p>
              </w:tc>
              <w:tc>
                <w:tcPr>
                  <w:tcW w:w="795"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3</w:t>
                  </w:r>
                </w:p>
              </w:tc>
              <w:tc>
                <w:tcPr>
                  <w:tcW w:w="153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sz w:val="24"/>
                      <w:szCs w:val="24"/>
                    </w:rPr>
                    <w:t>4</w:t>
                  </w:r>
                </w:p>
              </w:tc>
            </w:tr>
            <w:tr w:rsidR="002C340E" w:rsidRPr="002C340E" w:rsidTr="002C340E">
              <w:tc>
                <w:tcPr>
                  <w:tcW w:w="105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b/>
                      <w:bCs/>
                      <w:sz w:val="24"/>
                      <w:szCs w:val="24"/>
                    </w:rPr>
                    <w:t>Total</w:t>
                  </w:r>
                </w:p>
              </w:tc>
              <w:tc>
                <w:tcPr>
                  <w:tcW w:w="795"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b/>
                      <w:bCs/>
                      <w:sz w:val="24"/>
                      <w:szCs w:val="24"/>
                    </w:rPr>
                    <w:t>30</w:t>
                  </w:r>
                </w:p>
              </w:tc>
              <w:tc>
                <w:tcPr>
                  <w:tcW w:w="1530" w:type="dxa"/>
                  <w:tcBorders>
                    <w:top w:val="single" w:sz="6" w:space="0" w:color="DEE2E6"/>
                    <w:left w:val="single" w:sz="6" w:space="0" w:color="DEE2E6"/>
                    <w:bottom w:val="single" w:sz="6" w:space="0" w:color="DEE2E6"/>
                    <w:right w:val="single" w:sz="6" w:space="0" w:color="DEE2E6"/>
                  </w:tcBorders>
                  <w:hideMark/>
                </w:tcPr>
                <w:p w:rsidR="002C340E" w:rsidRPr="002C340E" w:rsidRDefault="002C340E" w:rsidP="002C340E">
                  <w:pPr>
                    <w:spacing w:after="100" w:afterAutospacing="1" w:line="240" w:lineRule="auto"/>
                    <w:jc w:val="center"/>
                    <w:rPr>
                      <w:rFonts w:ascii="Times New Roman" w:eastAsia="Times New Roman" w:hAnsi="Times New Roman" w:cs="Times New Roman"/>
                      <w:sz w:val="24"/>
                      <w:szCs w:val="24"/>
                    </w:rPr>
                  </w:pPr>
                  <w:r w:rsidRPr="002C340E">
                    <w:rPr>
                      <w:rFonts w:ascii="Times New Roman" w:eastAsia="Times New Roman" w:hAnsi="Times New Roman" w:cs="Times New Roman"/>
                      <w:b/>
                      <w:bCs/>
                      <w:sz w:val="24"/>
                      <w:szCs w:val="24"/>
                    </w:rPr>
                    <w:t>40</w:t>
                  </w:r>
                </w:p>
              </w:tc>
            </w:tr>
          </w:tbl>
          <w:p w:rsidR="002C340E" w:rsidRPr="002C340E" w:rsidRDefault="002C340E" w:rsidP="002C340E">
            <w:pPr>
              <w:spacing w:after="0" w:line="240" w:lineRule="auto"/>
              <w:rPr>
                <w:rFonts w:ascii="Segoe UI" w:eastAsia="Times New Roman" w:hAnsi="Segoe UI" w:cs="Segoe UI"/>
                <w:color w:val="212529"/>
                <w:sz w:val="24"/>
                <w:szCs w:val="24"/>
              </w:rPr>
            </w:pPr>
            <w:r w:rsidRPr="002C340E">
              <w:rPr>
                <w:rFonts w:ascii="Segoe UI" w:eastAsia="Times New Roman" w:hAnsi="Segoe UI" w:cs="Segoe UI"/>
                <w:color w:val="212529"/>
                <w:sz w:val="24"/>
                <w:szCs w:val="24"/>
              </w:rPr>
              <w:br/>
            </w:r>
            <w:r w:rsidRPr="002C340E">
              <w:rPr>
                <w:rFonts w:ascii="Segoe UI" w:eastAsia="Times New Roman" w:hAnsi="Segoe UI" w:cs="Segoe UI"/>
                <w:b/>
                <w:bCs/>
                <w:color w:val="212529"/>
                <w:sz w:val="24"/>
                <w:szCs w:val="24"/>
              </w:rPr>
              <w:t>*Note: There may be minor deviation in marks distribution.</w:t>
            </w:r>
          </w:p>
        </w:tc>
      </w:tr>
    </w:tbl>
    <w:p w:rsidR="00F66196" w:rsidRDefault="00F66196">
      <w:bookmarkStart w:id="0" w:name="_GoBack"/>
      <w:bookmarkEnd w:id="0"/>
    </w:p>
    <w:sectPr w:rsidR="00F6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AFC"/>
    <w:multiLevelType w:val="multilevel"/>
    <w:tmpl w:val="5304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4E7B07"/>
    <w:multiLevelType w:val="multilevel"/>
    <w:tmpl w:val="0AB87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0E"/>
    <w:rsid w:val="002C340E"/>
    <w:rsid w:val="00F6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1BD9C-0F91-442F-A95E-0513BBFD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2C340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C340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C34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539932">
      <w:bodyDiv w:val="1"/>
      <w:marLeft w:val="0"/>
      <w:marRight w:val="0"/>
      <w:marTop w:val="0"/>
      <w:marBottom w:val="0"/>
      <w:divBdr>
        <w:top w:val="none" w:sz="0" w:space="0" w:color="auto"/>
        <w:left w:val="none" w:sz="0" w:space="0" w:color="auto"/>
        <w:bottom w:val="none" w:sz="0" w:space="0" w:color="auto"/>
        <w:right w:val="none" w:sz="0" w:space="0" w:color="auto"/>
      </w:divBdr>
      <w:divsChild>
        <w:div w:id="1338774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2023-01-26T21:32:00Z</dcterms:created>
  <dcterms:modified xsi:type="dcterms:W3CDTF">2023-01-26T21:32:00Z</dcterms:modified>
</cp:coreProperties>
</file>