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622" w:rsidRPr="002A4622" w:rsidRDefault="002A4622" w:rsidP="002A4622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2A4622">
        <w:rPr>
          <w:rFonts w:ascii="Segoe UI" w:eastAsia="Times New Roman" w:hAnsi="Segoe UI" w:cs="Segoe UI"/>
          <w:color w:val="212529"/>
          <w:sz w:val="20"/>
          <w:szCs w:val="20"/>
        </w:rPr>
        <w:t>ADVANCED POWER SYSTEM ANALYSIS </w:t>
      </w:r>
    </w:p>
    <w:p w:rsidR="002A4622" w:rsidRPr="002A4622" w:rsidRDefault="002A4622" w:rsidP="002A4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Review of transmission Line (5 hours)</w:t>
      </w:r>
    </w:p>
    <w:p w:rsidR="002A4622" w:rsidRPr="002A4622" w:rsidRDefault="002A4622" w:rsidP="002A4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Basic relationship in transmission line</w:t>
      </w:r>
    </w:p>
    <w:p w:rsidR="002A4622" w:rsidRPr="002A4622" w:rsidRDefault="002A4622" w:rsidP="002A4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Uncompensated line</w:t>
      </w:r>
    </w:p>
    <w:p w:rsidR="002A4622" w:rsidRPr="002A4622" w:rsidRDefault="002A4622" w:rsidP="002A4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Load compensation and System compensation</w:t>
      </w:r>
    </w:p>
    <w:p w:rsidR="002A4622" w:rsidRPr="002A4622" w:rsidRDefault="002A4622" w:rsidP="002A4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 xml:space="preserve">Symmetrical line and </w:t>
      </w:r>
      <w:proofErr w:type="spellStart"/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mid point</w:t>
      </w:r>
      <w:proofErr w:type="spellEnd"/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 xml:space="preserve"> voltage of Symmetrical line</w:t>
      </w:r>
    </w:p>
    <w:p w:rsidR="002A4622" w:rsidRPr="002A4622" w:rsidRDefault="002A4622" w:rsidP="002A4622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A4622" w:rsidRPr="002A4622" w:rsidRDefault="002A4622" w:rsidP="002A4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Conventional method of transmission line compensation (8 hours)</w:t>
      </w:r>
    </w:p>
    <w:p w:rsidR="002A4622" w:rsidRPr="002A4622" w:rsidRDefault="002A4622" w:rsidP="002A4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Shunt compensation</w:t>
      </w:r>
    </w:p>
    <w:p w:rsidR="002A4622" w:rsidRPr="002A4622" w:rsidRDefault="002A4622" w:rsidP="002A4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Series compensation</w:t>
      </w:r>
    </w:p>
    <w:p w:rsidR="002A4622" w:rsidRPr="002A4622" w:rsidRDefault="002A4622" w:rsidP="002A4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Phase angle control</w:t>
      </w:r>
    </w:p>
    <w:p w:rsidR="002A4622" w:rsidRPr="002A4622" w:rsidRDefault="002A4622" w:rsidP="002A4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Effects of compensations on voltage regulation, transient stability and voltage stability</w:t>
      </w:r>
    </w:p>
    <w:p w:rsidR="002A4622" w:rsidRPr="002A4622" w:rsidRDefault="002A4622" w:rsidP="002A4622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A4622" w:rsidRPr="002A4622" w:rsidRDefault="002A4622" w:rsidP="002A4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Compensation Using Power </w:t>
      </w:r>
      <w:proofErr w:type="gramStart"/>
      <w:r w:rsidRPr="002A46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electronic</w:t>
      </w:r>
      <w:proofErr w:type="gramEnd"/>
      <w:r w:rsidRPr="002A46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Devices (20 hours)</w:t>
      </w:r>
    </w:p>
    <w:p w:rsidR="002A4622" w:rsidRPr="002A4622" w:rsidRDefault="002A4622" w:rsidP="002A4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Thyristor Controlled Reactor (TCR)</w:t>
      </w:r>
    </w:p>
    <w:p w:rsidR="002A4622" w:rsidRPr="002A4622" w:rsidRDefault="002A4622" w:rsidP="002A4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Thyristor Switched Capacity (TSC)</w:t>
      </w:r>
    </w:p>
    <w:p w:rsidR="002A4622" w:rsidRPr="002A4622" w:rsidRDefault="002A4622" w:rsidP="002A4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fixed Capacitor Thyristor Controlled Reactor</w:t>
      </w:r>
    </w:p>
    <w:p w:rsidR="002A4622" w:rsidRPr="002A4622" w:rsidRDefault="002A4622" w:rsidP="002A4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Switfhing</w:t>
      </w:r>
      <w:proofErr w:type="spellEnd"/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 xml:space="preserve"> Converter type Var generator (STATCOM)</w:t>
      </w:r>
    </w:p>
    <w:p w:rsidR="002A4622" w:rsidRPr="002A4622" w:rsidRDefault="002A4622" w:rsidP="002A4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GTO Controlled Series Capacitor (GCSC)</w:t>
      </w:r>
    </w:p>
    <w:p w:rsidR="002A4622" w:rsidRPr="002A4622" w:rsidRDefault="002A4622" w:rsidP="002A4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Static Synchronous Series Capacitor (SSSC)</w:t>
      </w:r>
    </w:p>
    <w:p w:rsidR="002A4622" w:rsidRPr="002A4622" w:rsidRDefault="002A4622" w:rsidP="002A4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Unified Power Flow Controller (UPFC)</w:t>
      </w:r>
    </w:p>
    <w:p w:rsidR="002A4622" w:rsidRPr="002A4622" w:rsidRDefault="002A4622" w:rsidP="002A4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Static voltage and phase angle controller</w:t>
      </w:r>
    </w:p>
    <w:p w:rsidR="002A4622" w:rsidRPr="002A4622" w:rsidRDefault="002A4622" w:rsidP="002A4622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A4622" w:rsidRPr="002A4622" w:rsidRDefault="002A4622" w:rsidP="002A4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Computer Simulation Study (12 hours)</w:t>
      </w:r>
    </w:p>
    <w:p w:rsidR="002A4622" w:rsidRPr="002A4622" w:rsidRDefault="002A4622" w:rsidP="002A4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Study on TCR, Fixed Capacitor Thyristor Controlled Reactor, STATCOM</w:t>
      </w:r>
    </w:p>
    <w:p w:rsidR="002A4622" w:rsidRPr="002A4622" w:rsidRDefault="002A4622" w:rsidP="002A4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Modeling of synchronous machine in d‐g‐0 frame</w:t>
      </w:r>
    </w:p>
    <w:p w:rsidR="002A4622" w:rsidRPr="002A4622" w:rsidRDefault="002A4622" w:rsidP="002A4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Use of Mat‐Lab Simulink in power system analysis</w:t>
      </w:r>
    </w:p>
    <w:p w:rsidR="002A4622" w:rsidRPr="002A4622" w:rsidRDefault="002A4622" w:rsidP="002A4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 xml:space="preserve">Load flow analysis – Gauss </w:t>
      </w:r>
      <w:proofErr w:type="spellStart"/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Siedal</w:t>
      </w:r>
      <w:proofErr w:type="spellEnd"/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 xml:space="preserve"> method, Newton‐Raphson method and Fast‐Decoupled method.</w:t>
      </w:r>
    </w:p>
    <w:p w:rsidR="002A4622" w:rsidRPr="002A4622" w:rsidRDefault="002A4622" w:rsidP="002A4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Rotor Angle Stability</w:t>
      </w:r>
    </w:p>
    <w:p w:rsidR="002A4622" w:rsidRPr="002A4622" w:rsidRDefault="002A4622" w:rsidP="002A4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Voltage Stability</w:t>
      </w:r>
    </w:p>
    <w:p w:rsidR="002A4622" w:rsidRPr="002A4622" w:rsidRDefault="002A4622" w:rsidP="002A462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br/>
        <w:t>Exercised on computer simulation</w:t>
      </w:r>
    </w:p>
    <w:p w:rsidR="002A4622" w:rsidRPr="002A4622" w:rsidRDefault="002A4622" w:rsidP="002A4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6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2A4622" w:rsidRPr="002A4622" w:rsidRDefault="002A4622" w:rsidP="002A4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Jhon</w:t>
      </w:r>
      <w:proofErr w:type="spellEnd"/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 xml:space="preserve"> J. Grainger and William D. Stevenson Jr., "Power system Analysis", Mc Graw Hill.</w:t>
      </w:r>
    </w:p>
    <w:p w:rsidR="002A4622" w:rsidRPr="002A4622" w:rsidRDefault="002A4622" w:rsidP="002A4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Narain</w:t>
      </w:r>
      <w:proofErr w:type="spellEnd"/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 xml:space="preserve"> G. </w:t>
      </w:r>
      <w:proofErr w:type="spellStart"/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Higorani</w:t>
      </w:r>
      <w:proofErr w:type="spellEnd"/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 xml:space="preserve"> and Laszlo </w:t>
      </w:r>
      <w:proofErr w:type="spellStart"/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Gyugai</w:t>
      </w:r>
      <w:proofErr w:type="spellEnd"/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, Understanding FACTS", IEEE Press</w:t>
      </w:r>
    </w:p>
    <w:p w:rsidR="002A4622" w:rsidRPr="002A4622" w:rsidRDefault="002A4622" w:rsidP="002A4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Hadi</w:t>
      </w:r>
      <w:proofErr w:type="spellEnd"/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 xml:space="preserve"> Saadat, "Power System analysis", TATA Mc Graw Hill.</w:t>
      </w:r>
    </w:p>
    <w:p w:rsidR="002A4622" w:rsidRPr="002A4622" w:rsidRDefault="002A4622" w:rsidP="002A4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R.H. Miller, "Reactive power compensation in power system", Mc. Graw Hill</w:t>
      </w:r>
    </w:p>
    <w:p w:rsidR="002A4622" w:rsidRPr="002A4622" w:rsidRDefault="002A4622" w:rsidP="002A4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 xml:space="preserve">P.S. </w:t>
      </w:r>
      <w:proofErr w:type="spellStart"/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Kundur</w:t>
      </w:r>
      <w:proofErr w:type="spellEnd"/>
      <w:r w:rsidRPr="002A4622">
        <w:rPr>
          <w:rFonts w:ascii="Segoe UI" w:eastAsia="Times New Roman" w:hAnsi="Segoe UI" w:cs="Segoe UI"/>
          <w:color w:val="212529"/>
          <w:sz w:val="24"/>
          <w:szCs w:val="24"/>
        </w:rPr>
        <w:t>, "Power System Stability and control", Mc. Graw Hill. Inc.</w:t>
      </w:r>
    </w:p>
    <w:p w:rsidR="00A577A0" w:rsidRDefault="00A577A0">
      <w:bookmarkStart w:id="0" w:name="_GoBack"/>
      <w:bookmarkEnd w:id="0"/>
    </w:p>
    <w:sectPr w:rsidR="00A5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906B0"/>
    <w:multiLevelType w:val="multilevel"/>
    <w:tmpl w:val="95D8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A0A2F"/>
    <w:multiLevelType w:val="multilevel"/>
    <w:tmpl w:val="ADC4D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22"/>
    <w:rsid w:val="002A4622"/>
    <w:rsid w:val="00A5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60AF5-550F-48D8-9018-1971B2E3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A462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A462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7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2023-01-26T21:41:00Z</dcterms:created>
  <dcterms:modified xsi:type="dcterms:W3CDTF">2023-01-26T21:42:00Z</dcterms:modified>
</cp:coreProperties>
</file>