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F8C" w:rsidRPr="004A7F8C" w:rsidRDefault="004A7F8C" w:rsidP="004A7F8C">
      <w:pPr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0"/>
          <w:szCs w:val="20"/>
        </w:rPr>
      </w:pPr>
      <w:r w:rsidRPr="004A7F8C">
        <w:rPr>
          <w:rFonts w:ascii="Segoe UI" w:eastAsia="Times New Roman" w:hAnsi="Segoe UI" w:cs="Segoe UI"/>
          <w:color w:val="212529"/>
          <w:sz w:val="20"/>
          <w:szCs w:val="20"/>
        </w:rPr>
        <w:t>WIND ENERGY CONVERSION SYSTEM </w:t>
      </w:r>
    </w:p>
    <w:p w:rsidR="004A7F8C" w:rsidRPr="004A7F8C" w:rsidRDefault="004A7F8C" w:rsidP="004A7F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br/>
        <w:t>To introduce the technology, grid integration and energy assessment for the wind power system to the final year BE student.</w:t>
      </w:r>
    </w:p>
    <w:p w:rsidR="004A7F8C" w:rsidRPr="004A7F8C" w:rsidRDefault="004A7F8C" w:rsidP="004A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Wing Power Basics (8 hours)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Historical evolution of wind power system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Change in size and output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energy conversion system: turbine, generator, power electronics, grid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power plant and wind mill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Economics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fluctuations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Capacity credits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Embedded generation benefits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Storage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Future trend: Cost, capacity, integration issues.</w:t>
      </w:r>
    </w:p>
    <w:p w:rsidR="004A7F8C" w:rsidRPr="004A7F8C" w:rsidRDefault="004A7F8C" w:rsidP="004A7F8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7F8C" w:rsidRPr="004A7F8C" w:rsidRDefault="004A7F8C" w:rsidP="004A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Wind energy assessment (10 hours)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Power in the </w:t>
      </w:r>
      <w:proofErr w:type="gram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:</w:t>
      </w:r>
      <w:proofErr w:type="gram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 temperature, altitude correction, impact of Tower Height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Maximum Rotor Efficiency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Average Power in the Wind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Discrete Wind Histogram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Power Probability Density Functions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Weibull and Rayleigh Statistics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Average Power in the Wind with Rayleigh Statistics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Power Classification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simple Estimates of Wind Turbine Energy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Annual Energy using Average Wind Turbine Efficiency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Farms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Specific wind </w:t>
      </w:r>
      <w:proofErr w:type="spell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Burtine</w:t>
      </w:r>
      <w:proofErr w:type="spell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 Performance </w:t>
      </w:r>
      <w:proofErr w:type="spell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Calcualtions</w:t>
      </w:r>
      <w:proofErr w:type="spell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: aerodynamics, power curve and Weibull statistics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Turbine Economics 371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Capital Costs and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Annual Costa 371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Annualized </w:t>
      </w:r>
      <w:proofErr w:type="spell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ost</w:t>
      </w:r>
      <w:proofErr w:type="spell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 of Electricity from Wind Turbines</w:t>
      </w:r>
    </w:p>
    <w:p w:rsidR="004A7F8C" w:rsidRPr="004A7F8C" w:rsidRDefault="004A7F8C" w:rsidP="004A7F8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4A7F8C" w:rsidRPr="004A7F8C" w:rsidRDefault="004A7F8C" w:rsidP="004A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Technology of wind energy conversion system (8 hours)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Turbines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Generators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Power Electronics Interfaces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Classification of WECS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Fixed </w:t>
      </w:r>
      <w:proofErr w:type="gram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speed based</w:t>
      </w:r>
      <w:proofErr w:type="gram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 wind turbines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Partially rated Converter‐based (FRC) Wind Turbines</w:t>
      </w:r>
    </w:p>
    <w:p w:rsidR="004A7F8C" w:rsidRPr="004A7F8C" w:rsidRDefault="004A7F8C" w:rsidP="004A7F8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Fully Rated converter‐based (FRC) Wind Turbines</w:t>
      </w:r>
    </w:p>
    <w:p w:rsidR="004A7F8C" w:rsidRPr="004A7F8C" w:rsidRDefault="004A7F8C" w:rsidP="004A7F8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7F8C" w:rsidRPr="004A7F8C" w:rsidRDefault="004A7F8C" w:rsidP="004A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Integration of WECS (8 hours)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Interconnection issues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Operation of off‐grid </w:t>
      </w:r>
      <w:proofErr w:type="spellStart"/>
      <w:proofErr w:type="gram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mode:hybrid</w:t>
      </w:r>
      <w:proofErr w:type="spellEnd"/>
      <w:proofErr w:type="gram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 system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Operation in grid connected mode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Fault ride through</w:t>
      </w:r>
    </w:p>
    <w:p w:rsidR="004A7F8C" w:rsidRPr="004A7F8C" w:rsidRDefault="004A7F8C" w:rsidP="004A7F8C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4A7F8C" w:rsidRPr="004A7F8C" w:rsidRDefault="004A7F8C" w:rsidP="004A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Wind power and electricity markets (8 hours)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Introduction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The electrical energy </w:t>
      </w:r>
      <w:proofErr w:type="gram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market</w:t>
      </w:r>
      <w:proofErr w:type="gramEnd"/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Balancing, capacity and ancillary services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Support mechanisms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Costs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Investment and risk</w:t>
      </w:r>
    </w:p>
    <w:p w:rsidR="004A7F8C" w:rsidRPr="004A7F8C" w:rsidRDefault="004A7F8C" w:rsidP="004A7F8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The future</w:t>
      </w:r>
    </w:p>
    <w:p w:rsidR="004A7F8C" w:rsidRPr="004A7F8C" w:rsidRDefault="004A7F8C" w:rsidP="004A7F8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 Works:</w:t>
      </w:r>
    </w:p>
    <w:p w:rsidR="004A7F8C" w:rsidRPr="004A7F8C" w:rsidRDefault="004A7F8C" w:rsidP="004A7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Wind Energy assessment of the particular location</w:t>
      </w:r>
    </w:p>
    <w:p w:rsidR="004A7F8C" w:rsidRPr="004A7F8C" w:rsidRDefault="004A7F8C" w:rsidP="004A7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Analysis of different wind turbine generation systems</w:t>
      </w:r>
    </w:p>
    <w:p w:rsidR="004A7F8C" w:rsidRPr="004A7F8C" w:rsidRDefault="004A7F8C" w:rsidP="004A7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Case Study on technology and issues related grid integration of WECS</w:t>
      </w:r>
    </w:p>
    <w:p w:rsidR="004A7F8C" w:rsidRPr="004A7F8C" w:rsidRDefault="004A7F8C" w:rsidP="004A7F8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Market Analysis of WECS</w:t>
      </w:r>
    </w:p>
    <w:p w:rsidR="004A7F8C" w:rsidRPr="004A7F8C" w:rsidRDefault="004A7F8C" w:rsidP="004A7F8C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Reference:</w:t>
      </w:r>
    </w:p>
    <w:p w:rsidR="004A7F8C" w:rsidRPr="004A7F8C" w:rsidRDefault="004A7F8C" w:rsidP="004A7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Wind Power in Power Systems, edited by Thomas Ackermann, Wiley publication, 2nd edition, 2004</w:t>
      </w:r>
    </w:p>
    <w:p w:rsidR="004A7F8C" w:rsidRPr="004A7F8C" w:rsidRDefault="004A7F8C" w:rsidP="004A7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Renewable and efficient power system</w:t>
      </w:r>
    </w:p>
    <w:p w:rsidR="004A7F8C" w:rsidRPr="004A7F8C" w:rsidRDefault="004A7F8C" w:rsidP="004A7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Wind Energy: Fundamentals, Resource analysis and Economics, Mathew </w:t>
      </w:r>
      <w:proofErr w:type="spell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Sathyajith</w:t>
      </w:r>
      <w:proofErr w:type="spell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, 2006</w:t>
      </w:r>
    </w:p>
    <w:p w:rsidR="004A7F8C" w:rsidRPr="004A7F8C" w:rsidRDefault="004A7F8C" w:rsidP="004A7F8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 xml:space="preserve">Wind Energy Explained: theory, Design and Application, James F. </w:t>
      </w:r>
      <w:proofErr w:type="spellStart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Manwell</w:t>
      </w:r>
      <w:proofErr w:type="spellEnd"/>
      <w:r w:rsidRPr="004A7F8C">
        <w:rPr>
          <w:rFonts w:ascii="Segoe UI" w:eastAsia="Times New Roman" w:hAnsi="Segoe UI" w:cs="Segoe UI"/>
          <w:color w:val="212529"/>
          <w:sz w:val="24"/>
          <w:szCs w:val="24"/>
        </w:rPr>
        <w:t>, Jon G. McGowan, Anthony L. Rogers, 2010.</w:t>
      </w:r>
    </w:p>
    <w:p w:rsidR="00A577A0" w:rsidRDefault="00A577A0">
      <w:bookmarkStart w:id="0" w:name="_GoBack"/>
      <w:bookmarkEnd w:id="0"/>
    </w:p>
    <w:sectPr w:rsidR="00A57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41998"/>
    <w:multiLevelType w:val="multilevel"/>
    <w:tmpl w:val="318C0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F27090"/>
    <w:multiLevelType w:val="multilevel"/>
    <w:tmpl w:val="16923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42718"/>
    <w:multiLevelType w:val="multilevel"/>
    <w:tmpl w:val="E0B4D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F8C"/>
    <w:rsid w:val="004A7F8C"/>
    <w:rsid w:val="00A5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B896B-B672-4563-9871-F7C049751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4A7F8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A7F8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A7F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8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2023-01-26T21:45:00Z</dcterms:created>
  <dcterms:modified xsi:type="dcterms:W3CDTF">2023-01-26T21:46:00Z</dcterms:modified>
</cp:coreProperties>
</file>