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rFonts w:ascii="Times New Roman" w:hAnsi="Times New Roman" w:eastAsia="黑体"/>
          <w:b/>
          <w:sz w:val="36"/>
        </w:rPr>
        <w:t>项目章程</w:t>
      </w:r>
    </w:p>
    <w:p>
      <w:pPr>
        <w:ind w:firstLine="0"/>
      </w:pPr>
      <w:r>
        <w:rPr>
          <w:rFonts w:ascii="Times New Roman" w:hAnsi="Times New Roman" w:eastAsia="宋体"/>
          <w:b w:val="0"/>
          <w:sz w:val="21"/>
        </w:rPr>
        <w:t>项目名称：火情智能监测与预警系统（FireGuard AI）</w:t>
      </w:r>
    </w:p>
    <w:p>
      <w:pPr>
        <w:ind w:firstLine="0"/>
      </w:pPr>
      <w:r>
        <w:rPr>
          <w:rFonts w:ascii="Times New Roman" w:hAnsi="Times New Roman" w:eastAsia="宋体"/>
          <w:b w:val="0"/>
          <w:sz w:val="21"/>
        </w:rPr>
        <w:t>启动时间：2026 年 9 月 3 日</w:t>
      </w:r>
    </w:p>
    <w:p>
      <w:pPr>
        <w:ind w:firstLine="0"/>
      </w:pPr>
      <w:r>
        <w:rPr>
          <w:rFonts w:ascii="Times New Roman" w:hAnsi="Times New Roman" w:eastAsia="宋体"/>
          <w:b w:val="0"/>
          <w:sz w:val="21"/>
        </w:rPr>
        <w:t>计划完工日期：2026 年 11 月 5 日</w:t>
      </w:r>
    </w:p>
    <w:p>
      <w:pPr>
        <w:ind w:firstLine="0"/>
      </w:pPr>
      <w:r>
        <w:rPr>
          <w:rFonts w:ascii="Times New Roman" w:hAnsi="Times New Roman" w:eastAsia="宋体"/>
          <w:b w:val="0"/>
          <w:sz w:val="21"/>
        </w:rPr>
        <w:t>项目经理：蔡俊杰</w:t>
      </w:r>
    </w:p>
    <w:p>
      <w:pPr>
        <w:ind w:firstLine="0"/>
      </w:pPr>
      <w:r>
        <w:rPr>
          <w:rFonts w:ascii="Times New Roman" w:hAnsi="Times New Roman" w:eastAsia="宋体"/>
          <w:b w:val="0"/>
          <w:sz w:val="21"/>
        </w:rPr>
        <w:t>联系方法：电话：19115973126　邮箱：alpaca10086@163.com</w:t>
      </w:r>
    </w:p>
    <w:p/>
    <w:p>
      <w:pPr>
        <w:ind w:firstLine="0"/>
      </w:pPr>
      <w:r>
        <w:rPr>
          <w:rFonts w:ascii="Times New Roman" w:hAnsi="Times New Roman" w:eastAsia="宋体"/>
          <w:b w:val="0"/>
          <w:sz w:val="21"/>
        </w:rPr>
        <w:t>项目目标：在 8 周内交付一套可运行、可演示的视频火情监测与预警系统，实现"视频源 → 烟火检测 → 分级预警 → 前端展示 → 历史留存"的完整闭环；支持安卓手机摄像头在局域网/手机热点环境实时推流识别，并支持本地上传视频作为保底演示通道；完成自训练 YOLO 模型的训练、评测与公开模型对比；按老师新增要求实现智能体复核（降低误报）与远距离识别（远景小目标）能力；同时交付软件介绍、项目章程、需求规格说明书、工作任务分解说明书四项课程文档，做到过程可追溯、个人工作量可核查。</w:t>
      </w:r>
    </w:p>
    <w:p/>
    <w:p>
      <w:pPr>
        <w:ind w:firstLine="0"/>
      </w:pPr>
      <w:r>
        <w:rPr>
          <w:rFonts w:ascii="Times New Roman" w:hAnsi="Times New Roman" w:eastAsia="宋体"/>
          <w:b/>
          <w:sz w:val="21"/>
        </w:rPr>
        <w:t>方法：</w:t>
      </w:r>
    </w:p>
    <w:p>
      <w:pPr>
        <w:ind w:firstLine="0"/>
      </w:pPr>
      <w:r>
        <w:rPr>
          <w:rFonts w:ascii="Times New Roman" w:hAnsi="Times New Roman" w:eastAsia="宋体"/>
          <w:b w:val="0"/>
          <w:sz w:val="21"/>
        </w:rPr>
        <w:t>1. 采用增量迭代方式开发，每周实训产出可演示版本，核心闭环优先，后置功能按进度取舍。</w:t>
      </w:r>
    </w:p>
    <w:p>
      <w:pPr>
        <w:ind w:firstLine="0"/>
      </w:pPr>
      <w:r>
        <w:rPr>
          <w:rFonts w:ascii="Times New Roman" w:hAnsi="Times New Roman" w:eastAsia="宋体"/>
          <w:b w:val="0"/>
          <w:sz w:val="21"/>
        </w:rPr>
        <w:t>2. 每周固定站会并使用看板跟踪任务；会议纪要、评审意见与文档版本同步归档。</w:t>
      </w:r>
    </w:p>
    <w:p>
      <w:pPr>
        <w:ind w:firstLine="0"/>
      </w:pPr>
      <w:r>
        <w:rPr>
          <w:rFonts w:ascii="Times New Roman" w:hAnsi="Times New Roman" w:eastAsia="宋体"/>
          <w:b w:val="0"/>
          <w:sz w:val="21"/>
        </w:rPr>
        <w:t>3. 使用 Git 分支 + Pull Request 协作，提交信息注明任务与作者；数据集与模型权重不进入仓库。</w:t>
      </w:r>
    </w:p>
    <w:p>
      <w:pPr>
        <w:ind w:firstLine="0"/>
      </w:pPr>
      <w:r>
        <w:rPr>
          <w:rFonts w:ascii="Times New Roman" w:hAnsi="Times New Roman" w:eastAsia="宋体"/>
          <w:b w:val="0"/>
          <w:sz w:val="21"/>
        </w:rPr>
        <w:t>4. 文档按"起草 v0.1 → 评审 v0.5 → 定稿 v1.0"流程编写；模型与系统指标用真实测试数据支撑，演示采用手机推流 + 上传视频双通道并提前预演。</w:t>
      </w:r>
    </w:p>
    <w:p/>
    <w:p>
      <w:pPr>
        <w:ind w:firstLine="0"/>
      </w:pPr>
      <w:r>
        <w:rPr>
          <w:rFonts w:ascii="Times New Roman" w:hAnsi="Times New Roman" w:eastAsia="宋体"/>
          <w:b/>
          <w:sz w:val="21"/>
        </w:rPr>
        <w:t>角色与职责：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W w:w="8731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1134"/>
        <w:gridCol w:w="2154"/>
        <w:gridCol w:w="5443"/>
      </w:tblGrid>
      <w:tr>
        <w:tc>
          <w:tcPr>
            <w:tcW w:type="dxa" w:w="1134"/>
            <w:vAlign w:val="center"/>
            <w:shd w:val="clear" w:color="auto" w:fill="1F4D78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黑体"/>
                <w:b/>
                <w:color w:val="FFFFFF"/>
                <w:sz w:val="19"/>
              </w:rPr>
              <w:t>姓名</w:t>
            </w:r>
          </w:p>
        </w:tc>
        <w:tc>
          <w:tcPr>
            <w:tcW w:type="dxa" w:w="2154"/>
            <w:vAlign w:val="center"/>
            <w:shd w:val="clear" w:color="auto" w:fill="1F4D78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黑体"/>
                <w:b/>
                <w:color w:val="FFFFFF"/>
                <w:sz w:val="19"/>
              </w:rPr>
              <w:t>角色</w:t>
            </w:r>
          </w:p>
        </w:tc>
        <w:tc>
          <w:tcPr>
            <w:tcW w:type="dxa" w:w="5443"/>
            <w:vAlign w:val="center"/>
            <w:shd w:val="clear" w:color="auto" w:fill="1F4D78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黑体"/>
                <w:b/>
                <w:color w:val="FFFFFF"/>
                <w:sz w:val="19"/>
              </w:rPr>
              <w:t>职责</w:t>
            </w:r>
          </w:p>
        </w:tc>
      </w:tr>
      <w:tr>
        <w:tc>
          <w:tcPr>
            <w:tcW w:type="dxa" w:w="1134"/>
            <w:vAlign w:val="center"/>
          </w:tcPr>
          <w:p>
            <w:pPr>
              <w:spacing w:line="30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sz w:val="19"/>
              </w:rPr>
              <w:t>蔡俊杰</w:t>
            </w:r>
          </w:p>
        </w:tc>
        <w:tc>
          <w:tcPr>
            <w:tcW w:type="dxa" w:w="2154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项目经理 / 技术负责人</w:t>
            </w:r>
          </w:p>
        </w:tc>
        <w:tc>
          <w:tcPr>
            <w:tcW w:type="dxa" w:w="5443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需求与功能建模、模型训练与评测、检测链路与告警引擎、系统集成、演示总控</w:t>
            </w:r>
          </w:p>
        </w:tc>
      </w:tr>
      <w:tr>
        <w:tc>
          <w:tcPr>
            <w:tcW w:type="dxa" w:w="1134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sz w:val="19"/>
              </w:rPr>
              <w:t>李汶航</w:t>
            </w:r>
          </w:p>
        </w:tc>
        <w:tc>
          <w:tcPr>
            <w:tcW w:type="dxa" w:w="2154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前端负责人 / 文档负责人</w:t>
            </w:r>
          </w:p>
        </w:tc>
        <w:tc>
          <w:tcPr>
            <w:tcW w:type="dxa" w:w="5443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Vue3 前端开发、非功能与界面需求、项目章程、进度章节、远距离素材收集</w:t>
            </w:r>
          </w:p>
        </w:tc>
      </w:tr>
      <w:tr>
        <w:tc>
          <w:tcPr>
            <w:tcW w:type="dxa" w:w="1134"/>
            <w:vAlign w:val="center"/>
          </w:tcPr>
          <w:p>
            <w:pPr>
              <w:spacing w:line="30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sz w:val="19"/>
              </w:rPr>
              <w:t>欧阳宇康</w:t>
            </w:r>
          </w:p>
        </w:tc>
        <w:tc>
          <w:tcPr>
            <w:tcW w:type="dxa" w:w="2154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需求与质量负责人</w:t>
            </w:r>
          </w:p>
        </w:tc>
        <w:tc>
          <w:tcPr>
            <w:tcW w:type="dxa" w:w="5443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需求调查与追踪矩阵、测试用例与记录、WBS 字典与 RACI、smoke 数据集查找</w:t>
            </w:r>
          </w:p>
        </w:tc>
      </w:tr>
      <w:tr>
        <w:tc>
          <w:tcPr>
            <w:tcW w:type="dxa" w:w="1134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sz w:val="19"/>
              </w:rPr>
              <w:t>陈泽恩</w:t>
            </w:r>
          </w:p>
        </w:tc>
        <w:tc>
          <w:tcPr>
            <w:tcW w:type="dxa" w:w="2154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配置与工具负责人</w:t>
            </w:r>
          </w:p>
        </w:tc>
        <w:tc>
          <w:tcPr>
            <w:tcW w:type="dxa" w:w="5443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模板套用与格式统一、版本管理、Microsoft Project 建库与甘特图、负样本收集</w:t>
            </w:r>
          </w:p>
        </w:tc>
      </w:tr>
    </w:tbl>
    <w:p/>
    <w:p>
      <w:pPr>
        <w:ind w:firstLine="0"/>
      </w:pPr>
      <w:r>
        <w:rPr>
          <w:rFonts w:ascii="Times New Roman" w:hAnsi="Times New Roman" w:eastAsia="宋体"/>
          <w:b/>
          <w:sz w:val="21"/>
        </w:rPr>
        <w:t>签名：</w:t>
      </w:r>
    </w:p>
    <w:p>
      <w:pPr>
        <w:ind w:firstLine="0"/>
      </w:pPr>
      <w:r>
        <w:rPr>
          <w:rFonts w:ascii="Times New Roman" w:hAnsi="Times New Roman" w:eastAsia="宋体"/>
          <w:b w:val="0"/>
          <w:sz w:val="21"/>
        </w:rPr>
        <w:t>蔡俊杰（组长）：________________　　日期：____________</w:t>
      </w:r>
    </w:p>
    <w:p>
      <w:pPr>
        <w:ind w:firstLine="0"/>
      </w:pPr>
      <w:r>
        <w:rPr>
          <w:rFonts w:ascii="Times New Roman" w:hAnsi="Times New Roman" w:eastAsia="宋体"/>
          <w:b w:val="0"/>
          <w:sz w:val="21"/>
        </w:rPr>
        <w:t>李汶航：________________　　日期：____________</w:t>
      </w:r>
    </w:p>
    <w:p>
      <w:pPr>
        <w:ind w:firstLine="0"/>
      </w:pPr>
      <w:r>
        <w:rPr>
          <w:rFonts w:ascii="Times New Roman" w:hAnsi="Times New Roman" w:eastAsia="宋体"/>
          <w:b w:val="0"/>
          <w:sz w:val="21"/>
        </w:rPr>
        <w:t>欧阳宇康：________________　　日期：____________</w:t>
      </w:r>
    </w:p>
    <w:p>
      <w:pPr>
        <w:ind w:firstLine="0"/>
      </w:pPr>
      <w:r>
        <w:rPr>
          <w:rFonts w:ascii="Times New Roman" w:hAnsi="Times New Roman" w:eastAsia="宋体"/>
          <w:b w:val="0"/>
          <w:sz w:val="21"/>
        </w:rPr>
        <w:t>陈泽恩：________________　　日期：____________</w:t>
      </w:r>
    </w:p>
    <w:p>
      <w:pPr>
        <w:ind w:firstLine="0"/>
      </w:pPr>
      <w:r>
        <w:rPr>
          <w:rFonts w:ascii="Times New Roman" w:hAnsi="Times New Roman" w:eastAsia="宋体"/>
          <w:b w:val="0"/>
          <w:sz w:val="21"/>
        </w:rPr>
        <w:t>指导教师：________________　　日期：____________</w:t>
      </w:r>
    </w:p>
    <w:p/>
    <w:p>
      <w:pPr>
        <w:ind w:firstLine="0"/>
      </w:pPr>
      <w:r>
        <w:rPr>
          <w:rFonts w:ascii="Times New Roman" w:hAnsi="Times New Roman" w:eastAsia="宋体"/>
          <w:b/>
          <w:sz w:val="21"/>
        </w:rPr>
        <w:t>评述：</w:t>
      </w:r>
    </w:p>
    <w:p>
      <w:pPr>
        <w:ind w:firstLine="0"/>
      </w:pPr>
      <w:r>
        <w:rPr>
          <w:rFonts w:ascii="Times New Roman" w:hAnsi="Times New Roman" w:eastAsia="宋体"/>
          <w:b w:val="0"/>
          <w:sz w:val="21"/>
        </w:rPr>
        <w:t>1. 指导教师评述：待评阅后填写。</w:t>
      </w:r>
    </w:p>
    <w:p>
      <w:pPr>
        <w:ind w:firstLine="0"/>
      </w:pPr>
      <w:r>
        <w:rPr>
          <w:rFonts w:ascii="Times New Roman" w:hAnsi="Times New Roman" w:eastAsia="宋体"/>
          <w:b w:val="0"/>
          <w:sz w:val="21"/>
        </w:rPr>
        <w:t>2. 项目组评述：项目已完成核心闭环并打通前后端，当前风险集中在数据集质量与远距离识别能力，已安排数据治理与数据补充计划；演示采用手机热点与上传视频双通道保障。</w:t>
      </w:r>
    </w:p>
    <w:sectPr w:rsidR="00FC693F" w:rsidRPr="0006063C" w:rsidSect="00034616">
      <w:footerReference w:type="default" r:id="rId9"/>
      <w:pgSz w:w="11906" w:h="16838"/>
      <w:pgMar w:top="1440" w:right="1474" w:bottom="1440" w:left="1701" w:header="850" w:footer="85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宋体"/>
        <w:sz w:val="18"/>
      </w:rPr>
      <w:t xml:space="preserve">第 </w:t>
    </w:r>
    <w:r>
      <w:fldChar w:fldCharType="begin"/>
      <w:instrText xml:space="preserve">PAGE</w:instrText>
      <w:fldChar w:fldCharType="end"/>
    </w:r>
    <w:r>
      <w:rPr>
        <w:rFonts w:ascii="Times New Roman" w:hAnsi="Times New Roman" w:eastAsia="宋体"/>
        <w:sz w:val="18"/>
      </w:rPr>
      <w:t xml:space="preserve"> 页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60" w:before="0"/>
    </w:pPr>
    <w:rPr>
      <w:rFonts w:ascii="Times New Roman" w:hAnsi="Times New Roman" w:eastAsia="宋体"/>
      <w:b w:val="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60" w:line="300" w:lineRule="auto"/>
      <w:ind w:firstLine="0"/>
      <w:outlineLvl w:val="0"/>
    </w:pPr>
    <w:rPr>
      <w:rFonts w:asciiTheme="majorHAnsi" w:eastAsiaTheme="majorEastAsia" w:hAnsiTheme="majorHAnsi" w:cstheme="majorBidi" w:ascii="Times New Roman" w:hAnsi="Times New Roman" w:eastAsia="黑体"/>
      <w:b/>
      <w:bCs/>
      <w:color w:val="1F4D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20" w:after="120" w:line="300" w:lineRule="auto"/>
      <w:ind w:firstLine="0"/>
      <w:outlineLvl w:val="1"/>
    </w:pPr>
    <w:rPr>
      <w:rFonts w:asciiTheme="majorHAnsi" w:eastAsiaTheme="majorEastAsia" w:hAnsiTheme="majorHAnsi" w:cstheme="majorBidi" w:ascii="Times New Roman" w:hAnsi="Times New Roman" w:eastAsia="黑体"/>
      <w:b/>
      <w:bCs/>
      <w:color w:val="1F4D78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 w:line="300" w:lineRule="auto"/>
      <w:ind w:firstLine="0"/>
      <w:outlineLvl w:val="2"/>
    </w:pPr>
    <w:rPr>
      <w:rFonts w:asciiTheme="majorHAnsi" w:eastAsiaTheme="majorEastAsia" w:hAnsiTheme="majorHAnsi" w:cstheme="majorBidi" w:ascii="Times New Roman" w:hAnsi="Times New Roman" w:eastAsia="黑体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line="336" w:lineRule="auto" w:after="40"/>
      <w:ind w:left="510" w:firstLine="0"/>
      <w:contextualSpacing/>
    </w:pPr>
    <w:rPr>
      <w:rFonts w:ascii="Times New Roman" w:hAnsi="Times New Roman" w:eastAsia="宋体"/>
      <w:b w:val="0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line="336" w:lineRule="auto" w:after="40"/>
      <w:ind w:left="510" w:firstLine="0"/>
      <w:contextualSpacing/>
    </w:pPr>
    <w:rPr>
      <w:rFonts w:ascii="Times New Roman" w:hAnsi="Times New Roman" w:eastAsia="宋体"/>
      <w:b w:val="0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