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黑体"/>
          <w:b/>
          <w:sz w:val="36"/>
        </w:rPr>
        <w:t>软件需求规格说明书（非功能性需求部分）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项目：火情智能监测与预警系统（FireGuard AI）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说明：本章节与表格格式严格参照《软件需求规格说明书（上学期实训的）》，仅保留其第 4 章"非功能性需求"的章节与表格结构。</w:t>
      </w:r>
    </w:p>
    <w:p/>
    <w:p>
      <w:pPr>
        <w:pStyle w:val="Heading1"/>
        <w:ind w:firstLine="0"/>
      </w:pPr>
      <w:r>
        <w:t>4. 非功能性需求</w:t>
      </w:r>
    </w:p>
    <w:p>
      <w:pPr>
        <w:pStyle w:val="Heading2"/>
        <w:ind w:firstLine="0"/>
      </w:pPr>
      <w:r>
        <w:t>4.1 用户界面需求</w:t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表 4-1 用户界面需求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6804"/>
      </w:tblGrid>
      <w:tr>
        <w:tc>
          <w:tcPr>
            <w:tcW w:type="dxa" w:w="19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需求名称</w:t>
            </w:r>
          </w:p>
        </w:tc>
        <w:tc>
          <w:tcPr>
            <w:tcW w:type="dxa" w:w="680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详细要求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界面风格统一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系统采用统一的深色侧栏与浅色内容区风格，五个页面的布局、色彩与控件样式保持一致。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导航结构清晰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采用侧栏菜单导航，包含监控总览、实时监控、告警中心、视频源管理、系统设置五个入口，核心功能三次点击内可达。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实时画面展示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实时监控页面按视频源数量自适应排列，画面按比例缩放不拉伸，画面内显示检测框，画面旁显示目标数量、风险分、帧率与延迟。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告警提示明确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新告警在 1 秒内以弹窗提示，顶部显示未处理告警数量；告警中心支持按告警类型与处理状态筛选。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状态显示清晰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视频源显示在线/离线与启用/停用状态；页面顶部显示实时通道连接状态。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操作反馈友好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上传、启停、参数保存等操作在 500ms 内给出成功或失败提示，失败信息包含原因与处理建议。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分辨率适配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支持 1366×768 及以上分辨率，推荐 1920×1080，页面显示正常且不出现横向滚动条。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错误提示友好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表单校验与接口异常均给出明确提示，例如"请确认后端已启动"。</w:t>
            </w:r>
          </w:p>
        </w:tc>
      </w:tr>
    </w:tbl>
    <w:p/>
    <w:p>
      <w:pPr>
        <w:pStyle w:val="Heading2"/>
        <w:ind w:firstLine="0"/>
      </w:pPr>
      <w:r>
        <w:t>4.2 软硬件环境需求</w:t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表 4-2 软硬件环境需求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54"/>
        <w:gridCol w:w="6577"/>
      </w:tblGrid>
      <w:tr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需求名称</w:t>
            </w:r>
          </w:p>
        </w:tc>
        <w:tc>
          <w:tcPr>
            <w:tcW w:type="dxa" w:w="657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详细要求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服务器/演示机操作系统</w:t>
            </w:r>
          </w:p>
        </w:tc>
        <w:tc>
          <w:tcPr>
            <w:tcW w:type="dxa" w:w="657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支持 Windows 10/11 64 位操作系统。</w:t>
            </w:r>
          </w:p>
        </w:tc>
      </w:tr>
      <w:tr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服务器硬件</w:t>
            </w:r>
          </w:p>
        </w:tc>
        <w:tc>
          <w:tcPr>
            <w:tcW w:type="dxa" w:w="657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CPU 4 核以上、内存 8GB 以上（推荐 16GB）、可用磁盘空间 20GB 以上。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GPU 环境</w:t>
            </w:r>
          </w:p>
        </w:tc>
        <w:tc>
          <w:tcPr>
            <w:tcW w:type="dxa" w:w="657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支持 CUDA 的 NVIDIA 显卡，显存 4GB 以上（本项目使用 RTX 4050 6GB 验证）。</w:t>
            </w:r>
          </w:p>
        </w:tc>
      </w:tr>
      <w:tr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后端运行环境</w:t>
            </w:r>
          </w:p>
        </w:tc>
        <w:tc>
          <w:tcPr>
            <w:tcW w:type="dxa" w:w="657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Python 3.12 + PyTorch 2.11.0（CUDA）+ Ultralytics 8.4.145，运行于 ai/.venv 独立环境。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前端运行环境</w:t>
            </w:r>
          </w:p>
        </w:tc>
        <w:tc>
          <w:tcPr>
            <w:tcW w:type="dxa" w:w="657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Node.js 20 以上，基于 Vue3 + Vite + Element Plus + ECharts 构建。</w:t>
            </w:r>
          </w:p>
        </w:tc>
      </w:tr>
      <w:tr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数据库环境</w:t>
            </w:r>
          </w:p>
        </w:tc>
        <w:tc>
          <w:tcPr>
            <w:tcW w:type="dxa" w:w="657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使用本地 SQLite 数据库存储视频源、告警与配置数据，不依赖独立数据库服务。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浏览器环境</w:t>
            </w:r>
          </w:p>
        </w:tc>
        <w:tc>
          <w:tcPr>
            <w:tcW w:type="dxa" w:w="657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支持 Chrome / Edge 最新版本，需支持 WebSocket 与 MJPEG 画面显示。</w:t>
            </w:r>
          </w:p>
        </w:tc>
      </w:tr>
      <w:tr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手机端环境</w:t>
            </w:r>
          </w:p>
        </w:tc>
        <w:tc>
          <w:tcPr>
            <w:tcW w:type="dxa" w:w="657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安卓 8.0 以上手机，安装 IP Webcam 应用，用于局域网/热点推流。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网络环境</w:t>
            </w:r>
          </w:p>
        </w:tc>
        <w:tc>
          <w:tcPr>
            <w:tcW w:type="dxa" w:w="657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手机与电脑处于同一局域网或手机热点，电脑可访问手机推流地址，不依赖公网。</w:t>
            </w:r>
          </w:p>
        </w:tc>
      </w:tr>
    </w:tbl>
    <w:p/>
    <w:p>
      <w:pPr>
        <w:pStyle w:val="Heading2"/>
        <w:ind w:firstLine="0"/>
      </w:pPr>
      <w:r>
        <w:t>4.3 产品质量需求</w:t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表 4-3 产品质量需求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7144"/>
      </w:tblGrid>
      <w:tr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主要质量属性</w:t>
            </w:r>
          </w:p>
        </w:tc>
        <w:tc>
          <w:tcPr>
            <w:tcW w:type="dxa" w:w="714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详细要求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正确性</w:t>
            </w:r>
          </w:p>
        </w:tc>
        <w:tc>
          <w:tcPr>
            <w:tcW w:type="dxa" w:w="71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明火置信度达到阈值时产生严重告警，烟雾连续达到设定帧数后产生预警；告警记录、页面展示与统计结果保持一致；首轮模型验证集 mAP50 为 0.758，清洗数据集后复核，明火检测 mAP50 不低于 0.70。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健壮性</w:t>
            </w:r>
          </w:p>
        </w:tc>
        <w:tc>
          <w:tcPr>
            <w:tcW w:type="dxa" w:w="714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对不存在的视频地址、错误的文件格式、超过 500MB 的上传文件等异常输入进行校验并给出提示；单路视频源异常不影响其他视频源与接口服务。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可靠性</w:t>
            </w:r>
          </w:p>
        </w:tc>
        <w:tc>
          <w:tcPr>
            <w:tcW w:type="dxa" w:w="71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连续运行 2 小时无崩溃；视频源断流后按 1 秒至 60 秒退避自动重连，离线时告警状态机复位；告警写入 SQLite 成功率 100%，服务重启后记录仍可查询。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性能，效率</w:t>
            </w:r>
          </w:p>
        </w:tc>
        <w:tc>
          <w:tcPr>
            <w:tcW w:type="dxa" w:w="714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每路视频源检测帧率 3~5 FPS（默认 4 FPS）；局域网端到端画面延迟不超过 1 秒；告警产生到前端展示不超过 3 秒；GPU 模式支持 4 路并发，单帧推理不超过 100ms；后端含模型加载启动不超过 15 秒；单路 GPU 显存占用不超过 3GB，4 路服务内存占用不超过 4GB。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易用性</w:t>
            </w:r>
          </w:p>
        </w:tc>
        <w:tc>
          <w:tcPr>
            <w:tcW w:type="dxa" w:w="71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主要功能三步内可达；视频源支持一键启停；支持拖拽上传 MP4/MOV 文件；设置页对阈值、连续帧、冷却时间等参数给出含义说明。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清晰性</w:t>
            </w:r>
          </w:p>
        </w:tc>
        <w:tc>
          <w:tcPr>
            <w:tcW w:type="dxa" w:w="714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界面信息层级清晰，术语统一；视频源在线/离线、启用/停用与实时通道连接状态标识明确；告警按类型与级别用颜色区分；错误提示包含原因与处理建议；提供演示脚本与操作说明，非开发成员可独立完成演示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安全性</w:t>
            </w:r>
          </w:p>
        </w:tc>
        <w:tc>
          <w:tcPr>
            <w:tcW w:type="dxa" w:w="71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系统仅部署在局域网或手机热点环境，不开放公网端口；视频源地址、告警记录与截图均存储在本地；演示素材不包含可识别的个人信息；API Key、密码等敏感信息不写入代码仓库。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可扩展性</w:t>
            </w:r>
          </w:p>
        </w:tc>
        <w:tc>
          <w:tcPr>
            <w:tcW w:type="dxa" w:w="714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后端按配置、数据库、检测器、检测任务、告警引擎、事件、接口等模块拆分；视频源类型、模型路径与阈值参数均可配置；预留智能体复核、远距离切片识别、多路 RTSP 接入与数据库切换的扩展空间。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兼容性</w:t>
            </w:r>
          </w:p>
        </w:tc>
        <w:tc>
          <w:tcPr>
            <w:tcW w:type="dxa" w:w="71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支持 Windows 10/11 与 Chrome、Edge 最新版本；支持 file、http（手机 IP Webcam）、rtsp 三类视频源接入；支持 NVIDIA GPU 推理与 CPU 降级运行；适配 1366×768 及以上分辨率；支持安卓 8.0 以上手机推流。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可移植性</w:t>
            </w:r>
          </w:p>
        </w:tc>
        <w:tc>
          <w:tcPr>
            <w:tcW w:type="dxa" w:w="714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系统不依赖云服务即可独立运行；模型路径、数据库路径、服务端口与检测参数均可配置；数据以本地 SQLite 文件存储，可直接备份迁移；未来可容器化部署并平滑切换数据库。</w:t>
            </w:r>
          </w:p>
        </w:tc>
      </w:tr>
    </w:tbl>
    <w:p/>
    <w:p>
      <w:pPr>
        <w:pStyle w:val="Heading2"/>
        <w:ind w:firstLine="0"/>
      </w:pPr>
      <w:r>
        <w:t>4.4 项目进度要求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本项目周期为 8 周（2026 年 9 月 3 日至 11 月 5 日）：前 3 周完成核心闭环，包括视频源接入、烟火检测、分级告警、前端页面与前后端打通；第 3~4 周完成数据去重与防泄漏重划分、模型重训与手机推流实测；第 5~7 周完成智能体复核与远距离识别；第 7~8 周完成结项材料整理与课堂演示。项目要求每周产出可演示增量，并在每次进度汇报时提供阶段成果与过程材料。</w:t>
      </w:r>
    </w:p>
    <w:p/>
    <w:p>
      <w:pPr>
        <w:pStyle w:val="Heading2"/>
        <w:ind w:firstLine="0"/>
      </w:pPr>
      <w:r>
        <w:t>4.5 其它需求</w:t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表 4-4 其它需求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6804"/>
      </w:tblGrid>
      <w:tr>
        <w:tc>
          <w:tcPr>
            <w:tcW w:type="dxa" w:w="19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680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详细要求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文档与过程要求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按课程模板提交软件介绍、项目章程、需求规格说明书、工作任务分解说明书；每份文档标注负责人，附过程证据与版本历史，并按"起草—评审—定稿"流程执行。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演示与培训要求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提供演示脚本与系统启动说明，非开发成员可独立完成课堂演示；演示前完成手机推流与上传视频两条链路的预演。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数据与模型合规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训练数据集仅用于学术探索并标注来源与许可；数据集与模型权重不进入代码仓库；训练参数与评测结果形成实验记录，保证可追溯。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需求可追溯要求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功能需求、用例、测试用例与工作任务分解工作包之间建立对应关系；评审意见、修改内容与修改人记录留痕。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备份与恢复要求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备份 storage/*.db 文件即可恢复告警记录与系统配置；提供备份与恢复操作说明。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维护与演进要求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8"/>
              </w:rPr>
              <w:t>架构预留智能体复核、远距离识别、多路 RTSP 接入与数据库切换空间；检测模型、告警规则与前端页面可独立升级，不相互阻塞。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