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Times New Roman" w:hAnsi="Times New Roman" w:eastAsia="黑体"/>
          <w:b/>
          <w:color w:val="1F4D78"/>
          <w:sz w:val="48"/>
        </w:rPr>
        <w:t>火情智能监测与预警系统</w:t>
      </w:r>
    </w:p>
    <w:p>
      <w:pPr>
        <w:jc w:val="center"/>
      </w:pPr>
      <w:r>
        <w:rPr>
          <w:rFonts w:ascii="Times New Roman" w:hAnsi="Times New Roman" w:eastAsia="黑体"/>
          <w:b w:val="0"/>
          <w:color w:val="404040"/>
          <w:sz w:val="28"/>
        </w:rPr>
        <w:t>项目章程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文档编号：FGA-CHTR-2026-001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793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5670"/>
      </w:tblGrid>
      <w:tr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66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项目名称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火情智能监测与预警系统（FireGuard AI）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授权日期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 年 9 月 3 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计划完工日期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 年 11 月 5 日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项目经理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联系方式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电话：19115973126　邮箱：alpaca10086@163.com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文档版本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v1.0（提交稿）</w:t>
            </w:r>
          </w:p>
        </w:tc>
      </w:tr>
    </w:tbl>
    <w:p>
      <w:r>
        <w:br w:type="page"/>
      </w:r>
    </w:p>
    <w:p>
      <w:pPr>
        <w:pStyle w:val="Heading1"/>
      </w:pPr>
      <w:r>
        <w:t>1. 项目目的与立项理由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火灾早期发现直接影响损失规模。传统烟感设备受安装位置限制，难以覆盖大空间与室外场景；现有开源烟火检测项目多以实验室近景演示为主，存在数据重复、分辨率低、远距离样本少、误报率高等问题。本项目作为软件项目管理课程小组实训项目，目标是在 8 周内构建一套可运行、可演示、过程可追溯的视频火情监测与预警系统，并按要求加入智能体复核与远距离识别能力，形成相对现有方案的优势。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立项理由包括三点：一是课程要求完成从需求、设计、开发到测试与结项的完整项目管理过程；二是通过真实项目训练小组的需求分析、进度控制与风险管理能力；三是成果可作为课程展示作品，具备继续迭代与参加竞赛的基础。</w:t>
      </w:r>
    </w:p>
    <w:p>
      <w:pPr>
        <w:pStyle w:val="Heading1"/>
      </w:pPr>
      <w:r>
        <w:t>2. 项目目标</w:t>
      </w:r>
    </w:p>
    <w:p>
      <w:pPr>
        <w:pStyle w:val="ListNumber"/>
      </w:pPr>
      <w:r>
        <w:rPr>
          <w:rFonts w:ascii="Times New Roman" w:hAnsi="Times New Roman" w:eastAsia="宋体"/>
        </w:rPr>
        <w:t>实现"视频源 → AI 烟火检测 → 分级预警 → 前端展示 → 历史留存"的完整业务闭环；</w:t>
      </w:r>
    </w:p>
    <w:p>
      <w:pPr>
        <w:pStyle w:val="ListNumber"/>
      </w:pPr>
      <w:r>
        <w:rPr>
          <w:rFonts w:ascii="Times New Roman" w:hAnsi="Times New Roman" w:eastAsia="宋体"/>
        </w:rPr>
        <w:t>支持安卓手机摄像头在局域网/热点环境下实时推流识别，并支持本地上传视频作为保底演示通道；</w:t>
      </w:r>
    </w:p>
    <w:p>
      <w:pPr>
        <w:pStyle w:val="ListNumber"/>
      </w:pPr>
      <w:r>
        <w:rPr>
          <w:rFonts w:ascii="Times New Roman" w:hAnsi="Times New Roman" w:eastAsia="宋体"/>
        </w:rPr>
        <w:t>完成自训练 YOLO 模型的训练、评测与误差分析，并与公开模型进行量化对比；</w:t>
      </w:r>
    </w:p>
    <w:p>
      <w:pPr>
        <w:pStyle w:val="ListNumber"/>
      </w:pPr>
      <w:r>
        <w:rPr>
          <w:rFonts w:ascii="Times New Roman" w:hAnsi="Times New Roman" w:eastAsia="宋体"/>
        </w:rPr>
        <w:t>按老师新增要求实现智能体复核（降低误报）与远距离识别（远景小目标）能力；</w:t>
      </w:r>
    </w:p>
    <w:p>
      <w:pPr>
        <w:pStyle w:val="ListNumber"/>
      </w:pPr>
      <w:r>
        <w:rPr>
          <w:rFonts w:ascii="Times New Roman" w:hAnsi="Times New Roman" w:eastAsia="宋体"/>
        </w:rPr>
        <w:t>交付可运行的演示系统与完整的课程文档（软件介绍、项目章程、需求规格说明书、工作任务分解说明书）。</w:t>
      </w:r>
    </w:p>
    <w:p>
      <w:pPr>
        <w:pStyle w:val="Heading1"/>
      </w:pPr>
      <w:r>
        <w:t>3. 范围说明书</w:t>
      </w:r>
    </w:p>
    <w:p>
      <w:pPr>
        <w:pStyle w:val="Heading2"/>
      </w:pPr>
      <w:r>
        <w:t>3.1 项目范围（本期交付）</w:t>
      </w:r>
    </w:p>
    <w:p>
      <w:pPr>
        <w:pStyle w:val="ListNumber"/>
      </w:pPr>
      <w:r>
        <w:rPr>
          <w:rFonts w:ascii="Times New Roman" w:hAnsi="Times New Roman" w:eastAsia="宋体"/>
        </w:rPr>
        <w:t>实时监控：多路视频画面、检测框、FPS/延迟/风险分；</w:t>
      </w:r>
    </w:p>
    <w:p>
      <w:pPr>
        <w:pStyle w:val="ListNumber"/>
      </w:pPr>
      <w:r>
        <w:rPr>
          <w:rFonts w:ascii="Times New Roman" w:hAnsi="Times New Roman" w:eastAsia="宋体"/>
        </w:rPr>
        <w:t>烟火检测：自训练 YOLO 模型的 fire/smoke 检测；</w:t>
      </w:r>
    </w:p>
    <w:p>
      <w:pPr>
        <w:pStyle w:val="ListNumber"/>
      </w:pPr>
      <w:r>
        <w:rPr>
          <w:rFonts w:ascii="Times New Roman" w:hAnsi="Times New Roman" w:eastAsia="宋体"/>
        </w:rPr>
        <w:t>分级预警：连续帧确认 + 置信度阈值 + 告警冷却，输出黄色预警与红色明火告警；</w:t>
      </w:r>
    </w:p>
    <w:p>
      <w:pPr>
        <w:pStyle w:val="ListNumber"/>
      </w:pPr>
      <w:r>
        <w:rPr>
          <w:rFonts w:ascii="Times New Roman" w:hAnsi="Times New Roman" w:eastAsia="宋体"/>
        </w:rPr>
        <w:t>视频源管理：本地上传视频（循环播放）、手机 IP Webcam 推流、RTSP 摄像头接入与启停；</w:t>
      </w:r>
    </w:p>
    <w:p>
      <w:pPr>
        <w:pStyle w:val="ListNumber"/>
      </w:pPr>
      <w:r>
        <w:rPr>
          <w:rFonts w:ascii="Times New Roman" w:hAnsi="Times New Roman" w:eastAsia="宋体"/>
        </w:rPr>
        <w:t>历史告警与统计分析：告警记录、确认处理、趋势图表；</w:t>
      </w:r>
    </w:p>
    <w:p>
      <w:pPr>
        <w:pStyle w:val="ListNumber"/>
      </w:pPr>
      <w:r>
        <w:rPr>
          <w:rFonts w:ascii="Times New Roman" w:hAnsi="Times New Roman" w:eastAsia="宋体"/>
        </w:rPr>
        <w:t>系统配置：阈值、连续帧、冷却时间等参数可在线调整；</w:t>
      </w:r>
    </w:p>
    <w:p>
      <w:pPr>
        <w:pStyle w:val="ListNumber"/>
      </w:pPr>
      <w:r>
        <w:rPr>
          <w:rFonts w:ascii="Times New Roman" w:hAnsi="Times New Roman" w:eastAsia="宋体"/>
        </w:rPr>
        <w:t>智能体复核与远距离识别（老师新增要求）：方案设计与开发、远景测试集评估。</w:t>
      </w:r>
    </w:p>
    <w:p>
      <w:pPr>
        <w:pStyle w:val="Heading2"/>
      </w:pPr>
      <w:r>
        <w:t>3.2 范围外事项</w:t>
      </w:r>
    </w:p>
    <w:p>
      <w:pPr>
        <w:pStyle w:val="ListNumber"/>
      </w:pPr>
      <w:r>
        <w:rPr>
          <w:rFonts w:ascii="Times New Roman" w:hAnsi="Times New Roman" w:eastAsia="宋体"/>
        </w:rPr>
        <w:t>不开发移动端 App（手机仅作为视频源）；</w:t>
      </w:r>
    </w:p>
    <w:p>
      <w:pPr>
        <w:pStyle w:val="ListNumber"/>
      </w:pPr>
      <w:r>
        <w:rPr>
          <w:rFonts w:ascii="Times New Roman" w:hAnsi="Times New Roman" w:eastAsia="宋体"/>
        </w:rPr>
        <w:t>不做云端多租户部署与容器化交付（列为演进方向）；</w:t>
      </w:r>
    </w:p>
    <w:p>
      <w:pPr>
        <w:pStyle w:val="ListNumber"/>
      </w:pPr>
      <w:r>
        <w:rPr>
          <w:rFonts w:ascii="Times New Roman" w:hAnsi="Times New Roman" w:eastAsia="宋体"/>
        </w:rPr>
        <w:t>不做消防设备联动控制；</w:t>
      </w:r>
    </w:p>
    <w:p>
      <w:pPr>
        <w:pStyle w:val="ListNumber"/>
      </w:pPr>
      <w:r>
        <w:rPr>
          <w:rFonts w:ascii="Times New Roman" w:hAnsi="Times New Roman" w:eastAsia="宋体"/>
        </w:rPr>
        <w:t>不使用真实火源进行演示。</w:t>
      </w:r>
    </w:p>
    <w:p>
      <w:pPr>
        <w:pStyle w:val="Heading1"/>
      </w:pPr>
      <w:r>
        <w:t>4. 总体里程碑进度表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164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4"/>
        <w:gridCol w:w="1814"/>
        <w:gridCol w:w="3628"/>
        <w:gridCol w:w="1247"/>
      </w:tblGrid>
      <w:tr>
        <w:tc>
          <w:tcPr>
            <w:tcW w:type="dxa" w:w="147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181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6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主要交付物</w:t>
            </w:r>
          </w:p>
        </w:tc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项目启动</w:t>
            </w:r>
          </w:p>
        </w:tc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1 周（9/3~9/9）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项目介绍、项目章程、环境搭建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已完成</w:t>
            </w:r>
          </w:p>
        </w:tc>
      </w:tr>
      <w:tr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需求与设计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1~2 周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需求规格说明书、系统设计文档、工作任务分解说明书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进行中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核心闭环开发</w:t>
            </w:r>
          </w:p>
        </w:tc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2~3 周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检测 worker、告警引擎、前端页面、前后端联调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已完成</w:t>
            </w:r>
          </w:p>
        </w:tc>
      </w:tr>
      <w:tr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数据治理与模型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3~4 周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数据去重与重划分、诚实基线重训、手机推流实测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进行中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智能体与远距离</w:t>
            </w:r>
          </w:p>
        </w:tc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5~7 周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切片推理、时序融合、VLM 复核、远景测试集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待开始</w:t>
            </w:r>
          </w:p>
        </w:tc>
      </w:tr>
      <w:tr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结项交付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第 7~8 周（~11/5）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结项报告、演示脚本、材料归档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待开始</w:t>
            </w:r>
          </w:p>
        </w:tc>
      </w:tr>
    </w:tbl>
    <w:p>
      <w:pPr>
        <w:pStyle w:val="Heading1"/>
      </w:pPr>
      <w:r>
        <w:t>5. 计划使用的项目管理方法</w:t>
      </w:r>
    </w:p>
    <w:p>
      <w:pPr>
        <w:pStyle w:val="ListNumber"/>
      </w:pPr>
      <w:r>
        <w:rPr>
          <w:rFonts w:ascii="Times New Roman" w:hAnsi="Times New Roman" w:eastAsia="宋体"/>
        </w:rPr>
        <w:t>敏捷迭代：以周为迭代周期，每周产出可演示增量，核心闭环优先；</w:t>
      </w:r>
    </w:p>
    <w:p>
      <w:pPr>
        <w:pStyle w:val="ListNumber"/>
      </w:pPr>
      <w:r>
        <w:rPr>
          <w:rFonts w:ascii="Times New Roman" w:hAnsi="Times New Roman" w:eastAsia="宋体"/>
        </w:rPr>
        <w:t>例会与看板：每周实训固定站会，任务状态在看板上维护，会议纪要及时归档；</w:t>
      </w:r>
    </w:p>
    <w:p>
      <w:pPr>
        <w:pStyle w:val="ListNumber"/>
      </w:pPr>
      <w:r>
        <w:rPr>
          <w:rFonts w:ascii="Times New Roman" w:hAnsi="Times New Roman" w:eastAsia="宋体"/>
        </w:rPr>
        <w:t>版本与配置管理：Git 分支 + Pull Request 提交，提交信息统一格式，禁止提交数据与模型权重；</w:t>
      </w:r>
    </w:p>
    <w:p>
      <w:pPr>
        <w:pStyle w:val="ListNumber"/>
      </w:pPr>
      <w:r>
        <w:rPr>
          <w:rFonts w:ascii="Times New Roman" w:hAnsi="Times New Roman" w:eastAsia="宋体"/>
        </w:rPr>
        <w:t>文档驱动：按课程模板产出文档，走"起草 v0.1 → 评审 v0.5 → 定稿 v1.0"流程，评审留痕；</w:t>
      </w:r>
    </w:p>
    <w:p>
      <w:pPr>
        <w:pStyle w:val="ListNumber"/>
      </w:pPr>
      <w:r>
        <w:rPr>
          <w:rFonts w:ascii="Times New Roman" w:hAnsi="Times New Roman" w:eastAsia="宋体"/>
        </w:rPr>
        <w:t>量化验证：模型训练与对比使用统一验证集与演示素材，指标与实验记录入库；</w:t>
      </w:r>
    </w:p>
    <w:p>
      <w:pPr>
        <w:pStyle w:val="ListNumber"/>
      </w:pPr>
      <w:r>
        <w:rPr>
          <w:rFonts w:ascii="Times New Roman" w:hAnsi="Times New Roman" w:eastAsia="宋体"/>
        </w:rPr>
        <w:t>风险与演示保障：维护风险台账，演示采用"手机推流 + 上传视频"双通道，演示前全链路预演。</w:t>
      </w:r>
    </w:p>
    <w:p>
      <w:pPr>
        <w:pStyle w:val="Heading1"/>
      </w:pPr>
      <w:r>
        <w:t>6. 角色与职责矩阵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1701"/>
        <w:gridCol w:w="3628"/>
        <w:gridCol w:w="2268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姓名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6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主要职责</w:t>
            </w:r>
          </w:p>
        </w:tc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关键产出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项目经理 / 技术负责人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需求与功能建模、模型训练与评测、检测链路与告警引擎、系统集成、演示总控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可运行系统、需求规格说明书、模型评测记录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前端负责人 / 文档负责人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前端开发、非功能与界面需求、项目章程、进度章节、远距离素材收集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前端应用、项目章程、非功能需求章节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需求调查与追踪矩阵、测试用例与记录、WBS 字典与 RACI、smoke 数据集查找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需求调查记录、测试记录、WBS 字典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模板套用与格式统一、版本管理、Microsoft Project 建库与甘特图、负样本收集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四份文档成品、Project 工程与截图</w:t>
            </w:r>
          </w:p>
        </w:tc>
      </w:tr>
    </w:tbl>
    <w:p>
      <w:pPr>
        <w:pStyle w:val="Heading1"/>
      </w:pPr>
      <w:r>
        <w:t>7. 主要干系人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3402"/>
        <w:gridCol w:w="3402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干系人</w:t>
            </w:r>
          </w:p>
        </w:tc>
        <w:tc>
          <w:tcPr>
            <w:tcW w:type="dxa" w:w="340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角色/关注点</w:t>
            </w:r>
          </w:p>
        </w:tc>
        <w:tc>
          <w:tcPr>
            <w:tcW w:type="dxa" w:w="340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参与方式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指导教师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课程评审、进度与文档质量把关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课堂检查、阶段性评阅、期末演示评分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项目小组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项目执行与交付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每周实训、组内评审、任务分工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课堂演示观众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了解系统功能与效果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期末演示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视频源提供方（手机/摄像头）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提供测试画面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局域网推流或本地视频</w:t>
            </w:r>
          </w:p>
        </w:tc>
      </w:tr>
    </w:tbl>
    <w:p>
      <w:pPr>
        <w:pStyle w:val="Heading1"/>
      </w:pPr>
      <w:r>
        <w:t>8. 主要风险与假设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81"/>
        <w:gridCol w:w="2494"/>
        <w:gridCol w:w="3855"/>
      </w:tblGrid>
      <w:tr>
        <w:tc>
          <w:tcPr>
            <w:tcW w:type="dxa" w:w="23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风险/假设</w:t>
            </w:r>
          </w:p>
        </w:tc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385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数据集重复、远景样本少</w:t>
            </w:r>
          </w:p>
        </w:tc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模型指标虚高，远距离效果不足</w:t>
            </w:r>
          </w:p>
        </w:tc>
        <w:tc>
          <w:tcPr>
            <w:tcW w:type="dxa" w:w="38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先清洗去重再重划分；定向补充烟类与远景数据</w:t>
            </w:r>
          </w:p>
        </w:tc>
      </w:tr>
      <w:tr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智能体依赖外部模型或网络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复核不可用</w:t>
            </w:r>
          </w:p>
        </w:tc>
        <w:tc>
          <w:tcPr>
            <w:tcW w:type="dxa" w:w="38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本地小模型优先，云端可选，失败回退本地规则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每周有效时间有限（约 3.5 小时）</w:t>
            </w:r>
          </w:p>
        </w:tc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进度延迟</w:t>
            </w:r>
          </w:p>
        </w:tc>
        <w:tc>
          <w:tcPr>
            <w:tcW w:type="dxa" w:w="38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核心闭环优先，每周可演示，后置功能及时降级</w:t>
            </w:r>
          </w:p>
        </w:tc>
      </w:tr>
      <w:tr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演示现场网络不可控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手机推流失败</w:t>
            </w:r>
          </w:p>
        </w:tc>
        <w:tc>
          <w:tcPr>
            <w:tcW w:type="dxa" w:w="38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使用手机热点；准备上传视频保底通道并提前预演</w:t>
            </w:r>
          </w:p>
        </w:tc>
      </w:tr>
    </w:tbl>
    <w:p>
      <w:pPr>
        <w:pStyle w:val="Heading1"/>
      </w:pPr>
      <w:r>
        <w:t>9. 签名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81"/>
        <w:gridCol w:w="1927"/>
        <w:gridCol w:w="2494"/>
        <w:gridCol w:w="1927"/>
      </w:tblGrid>
      <w:tr>
        <w:tc>
          <w:tcPr>
            <w:tcW w:type="dxa" w:w="23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姓名</w:t>
            </w:r>
          </w:p>
        </w:tc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签名</w:t>
            </w:r>
          </w:p>
        </w:tc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日期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项目经理 / 组长</w:t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前端负责人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指导教师</w:t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>
      <w:pPr>
        <w:pStyle w:val="Heading1"/>
      </w:pPr>
      <w:r>
        <w:t>10. 主要干系人评述</w:t>
      </w:r>
    </w:p>
    <w:p>
      <w:r>
        <w:rPr>
          <w:rFonts w:ascii="Times New Roman" w:hAnsi="Times New Roman" w:eastAsia="宋体"/>
          <w:b w:val="0"/>
          <w:sz w:val="21"/>
        </w:rPr>
        <w:t>1. 指导教师评述：待评阅后填写（关注点：需求与文档完整性、进度控制、演示效果、对现有方案的优势）。</w:t>
      </w:r>
    </w:p>
    <w:p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项目组评述：项目已完成核心闭环并打通前后端，当前主要风险集中在数据集质量与远距离识别能力，已制定数据治理与补充计划；演示采用双通道保障。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