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Times New Roman" w:hAnsi="Times New Roman" w:eastAsia="黑体"/>
          <w:b/>
          <w:color w:val="1F4D78"/>
          <w:sz w:val="48"/>
        </w:rPr>
        <w:t>火情智能监测与预警系统</w:t>
      </w:r>
    </w:p>
    <w:p>
      <w:pPr>
        <w:jc w:val="center"/>
      </w:pPr>
      <w:r>
        <w:rPr>
          <w:rFonts w:ascii="Times New Roman" w:hAnsi="Times New Roman" w:eastAsia="黑体"/>
          <w:b w:val="0"/>
          <w:color w:val="404040"/>
          <w:sz w:val="28"/>
        </w:rPr>
        <w:t>需求规格说明书 · 非功能性需求部分（第 5 章）</w:t>
      </w:r>
    </w:p>
    <w:p>
      <w:pPr>
        <w:jc w:val="center"/>
      </w:pPr>
      <w:r>
        <w:rPr>
          <w:rFonts w:ascii="Times New Roman" w:hAnsi="Times New Roman" w:eastAsia="宋体"/>
          <w:sz w:val="21"/>
        </w:rPr>
        <w:t>文档编号：FGA-SRS-NFR-2026-001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793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68"/>
        <w:gridCol w:w="5670"/>
      </w:tblGrid>
      <w:tr>
        <w:tc>
          <w:tcPr>
            <w:tcW w:type="dxa" w:w="2268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5669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文档用途</w:t>
            </w:r>
          </w:p>
        </w:tc>
        <w:tc>
          <w:tcPr>
            <w:tcW w:type="dxa" w:w="5669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任务3 需求规格说明书的第 5 章内容，可直接并入正式文档</w:t>
            </w:r>
          </w:p>
        </w:tc>
      </w:tr>
      <w:tr>
        <w:tc>
          <w:tcPr>
            <w:tcW w:type="dxa" w:w="226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编号前缀</w:t>
            </w:r>
          </w:p>
        </w:tc>
        <w:tc>
          <w:tcPr>
            <w:tcW w:type="dxa" w:w="5669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NFR（Non-Functional Requirement）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版本 / 日期</w:t>
            </w:r>
          </w:p>
        </w:tc>
        <w:tc>
          <w:tcPr>
            <w:tcW w:type="dxa" w:w="5669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v1.0 / 2026 年 9 月 12 日</w:t>
            </w:r>
          </w:p>
        </w:tc>
      </w:tr>
      <w:tr>
        <w:tc>
          <w:tcPr>
            <w:tcW w:type="dxa" w:w="226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编制</w:t>
            </w:r>
          </w:p>
        </w:tc>
        <w:tc>
          <w:tcPr>
            <w:tcW w:type="dxa" w:w="5669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李汶航 主笔，蔡俊杰 审核，陈泽恩 排版</w:t>
            </w:r>
          </w:p>
        </w:tc>
      </w:tr>
    </w:tbl>
    <w:p>
      <w:r>
        <w:br w:type="page"/>
      </w:r>
    </w:p>
    <w:p>
      <w:pPr>
        <w:pStyle w:val="Heading1"/>
      </w:pPr>
      <w:r>
        <w:t>5. 产品的非功能性需求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本章描述系统在界面、环境、质量、接口与数据方面的约束与指标。每条需求均给出编号、指标与验证方式，可直接用于测试用例与验收检查。指标依据当前实现（前后端已打通、模型 YOLO26n）与演示环境（RTX 4050 6GB、局域网）确定。</w:t>
      </w:r>
    </w:p>
    <w:p>
      <w:pPr>
        <w:pStyle w:val="Heading2"/>
      </w:pPr>
      <w:r>
        <w:t>5.1 用户界面需求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85"/>
        <w:gridCol w:w="3018"/>
        <w:gridCol w:w="2479"/>
        <w:gridCol w:w="1293"/>
        <w:gridCol w:w="754"/>
      </w:tblGrid>
      <w:tr>
        <w:tc>
          <w:tcPr>
            <w:tcW w:type="dxa" w:w="118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3018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需求描述</w:t>
            </w:r>
          </w:p>
        </w:tc>
        <w:tc>
          <w:tcPr>
            <w:tcW w:type="dxa" w:w="2479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指标 / 约束</w:t>
            </w:r>
          </w:p>
        </w:tc>
        <w:tc>
          <w:tcPr>
            <w:tcW w:type="dxa" w:w="1293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验证方式</w:t>
            </w:r>
          </w:p>
        </w:tc>
        <w:tc>
          <w:tcPr>
            <w:tcW w:type="dxa" w:w="75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优先级</w:t>
            </w:r>
          </w:p>
        </w:tc>
      </w:tr>
      <w:tr>
        <w:tc>
          <w:tcPr>
            <w:tcW w:type="dxa" w:w="1185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NFR-UI-01</w:t>
            </w:r>
          </w:p>
        </w:tc>
        <w:tc>
          <w:tcPr>
            <w:tcW w:type="dxa" w:w="301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界面语言与术语统一</w:t>
            </w:r>
          </w:p>
        </w:tc>
        <w:tc>
          <w:tcPr>
            <w:tcW w:type="dxa" w:w="2479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全中文；术语与《项目统一参考材料》一致</w:t>
            </w:r>
          </w:p>
        </w:tc>
        <w:tc>
          <w:tcPr>
            <w:tcW w:type="dxa" w:w="129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检查页面文案</w:t>
            </w:r>
          </w:p>
        </w:tc>
        <w:tc>
          <w:tcPr>
            <w:tcW w:type="dxa" w:w="75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高</w:t>
            </w:r>
          </w:p>
        </w:tc>
      </w:tr>
      <w:tr>
        <w:tc>
          <w:tcPr>
            <w:tcW w:type="dxa" w:w="118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NFR-UI-02</w:t>
            </w:r>
          </w:p>
        </w:tc>
        <w:tc>
          <w:tcPr>
            <w:tcW w:type="dxa" w:w="301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页面结构</w:t>
            </w:r>
          </w:p>
        </w:tc>
        <w:tc>
          <w:tcPr>
            <w:tcW w:type="dxa" w:w="2479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监控总览、实时监控、告警中心、视频源管理、系统设置 5 个页面，侧栏导航可达</w:t>
            </w:r>
          </w:p>
        </w:tc>
        <w:tc>
          <w:tcPr>
            <w:tcW w:type="dxa" w:w="129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逐一访问页面</w:t>
            </w:r>
          </w:p>
        </w:tc>
        <w:tc>
          <w:tcPr>
            <w:tcW w:type="dxa" w:w="75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高</w:t>
            </w:r>
          </w:p>
        </w:tc>
      </w:tr>
      <w:tr>
        <w:tc>
          <w:tcPr>
            <w:tcW w:type="dxa" w:w="1185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NFR-UI-03</w:t>
            </w:r>
          </w:p>
        </w:tc>
        <w:tc>
          <w:tcPr>
            <w:tcW w:type="dxa" w:w="301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实时画面区域</w:t>
            </w:r>
          </w:p>
        </w:tc>
        <w:tc>
          <w:tcPr>
            <w:tcW w:type="dxa" w:w="2479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每路画面显示区域高度 ≥ 240px，画面按比例缩放不拉伸</w:t>
            </w:r>
          </w:p>
        </w:tc>
        <w:tc>
          <w:tcPr>
            <w:tcW w:type="dxa" w:w="129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浏览器检查与截图</w:t>
            </w:r>
          </w:p>
        </w:tc>
        <w:tc>
          <w:tcPr>
            <w:tcW w:type="dxa" w:w="75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高</w:t>
            </w:r>
          </w:p>
        </w:tc>
      </w:tr>
      <w:tr>
        <w:tc>
          <w:tcPr>
            <w:tcW w:type="dxa" w:w="118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NFR-UI-04</w:t>
            </w:r>
          </w:p>
        </w:tc>
        <w:tc>
          <w:tcPr>
            <w:tcW w:type="dxa" w:w="301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告警可见性</w:t>
            </w:r>
          </w:p>
        </w:tc>
        <w:tc>
          <w:tcPr>
            <w:tcW w:type="dxa" w:w="2479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新告警在 1 秒内出现弹窗提示；未处理告警在顶部显示计数</w:t>
            </w:r>
          </w:p>
        </w:tc>
        <w:tc>
          <w:tcPr>
            <w:tcW w:type="dxa" w:w="129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触发告警观察</w:t>
            </w:r>
          </w:p>
        </w:tc>
        <w:tc>
          <w:tcPr>
            <w:tcW w:type="dxa" w:w="75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高</w:t>
            </w:r>
          </w:p>
        </w:tc>
      </w:tr>
      <w:tr>
        <w:tc>
          <w:tcPr>
            <w:tcW w:type="dxa" w:w="1185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NFR-UI-05</w:t>
            </w:r>
          </w:p>
        </w:tc>
        <w:tc>
          <w:tcPr>
            <w:tcW w:type="dxa" w:w="301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状态可见性</w:t>
            </w:r>
          </w:p>
        </w:tc>
        <w:tc>
          <w:tcPr>
            <w:tcW w:type="dxa" w:w="2479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视频源显示在线/离线、启用/停用状态；实时通道显示连接状态</w:t>
            </w:r>
          </w:p>
        </w:tc>
        <w:tc>
          <w:tcPr>
            <w:tcW w:type="dxa" w:w="129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页面状态检查</w:t>
            </w:r>
          </w:p>
        </w:tc>
        <w:tc>
          <w:tcPr>
            <w:tcW w:type="dxa" w:w="75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中</w:t>
            </w:r>
          </w:p>
        </w:tc>
      </w:tr>
      <w:tr>
        <w:tc>
          <w:tcPr>
            <w:tcW w:type="dxa" w:w="118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NFR-UI-06</w:t>
            </w:r>
          </w:p>
        </w:tc>
        <w:tc>
          <w:tcPr>
            <w:tcW w:type="dxa" w:w="301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操作反馈</w:t>
            </w:r>
          </w:p>
        </w:tc>
        <w:tc>
          <w:tcPr>
            <w:tcW w:type="dxa" w:w="2479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上传、启停、保存等操作在 500ms 内给出成功或失败提示</w:t>
            </w:r>
          </w:p>
        </w:tc>
        <w:tc>
          <w:tcPr>
            <w:tcW w:type="dxa" w:w="129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手工操作计时</w:t>
            </w:r>
          </w:p>
        </w:tc>
        <w:tc>
          <w:tcPr>
            <w:tcW w:type="dxa" w:w="75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中</w:t>
            </w:r>
          </w:p>
        </w:tc>
      </w:tr>
      <w:tr>
        <w:tc>
          <w:tcPr>
            <w:tcW w:type="dxa" w:w="1185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NFR-UI-07</w:t>
            </w:r>
          </w:p>
        </w:tc>
        <w:tc>
          <w:tcPr>
            <w:tcW w:type="dxa" w:w="301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分辨率适配</w:t>
            </w:r>
          </w:p>
        </w:tc>
        <w:tc>
          <w:tcPr>
            <w:tcW w:type="dxa" w:w="2479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支持 1366×768 及以上分辨率，推荐 1920×1080；不出现横向滚动条</w:t>
            </w:r>
          </w:p>
        </w:tc>
        <w:tc>
          <w:tcPr>
            <w:tcW w:type="dxa" w:w="129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多分辨率检查</w:t>
            </w:r>
          </w:p>
        </w:tc>
        <w:tc>
          <w:tcPr>
            <w:tcW w:type="dxa" w:w="75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中</w:t>
            </w:r>
          </w:p>
        </w:tc>
      </w:tr>
      <w:tr>
        <w:tc>
          <w:tcPr>
            <w:tcW w:type="dxa" w:w="118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NFR-UI-08</w:t>
            </w:r>
          </w:p>
        </w:tc>
        <w:tc>
          <w:tcPr>
            <w:tcW w:type="dxa" w:w="301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错误提示</w:t>
            </w:r>
          </w:p>
        </w:tc>
        <w:tc>
          <w:tcPr>
            <w:tcW w:type="dxa" w:w="2479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错误信息包含原因与处理建议（如"请确认后端已启动"）</w:t>
            </w:r>
          </w:p>
        </w:tc>
        <w:tc>
          <w:tcPr>
            <w:tcW w:type="dxa" w:w="129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模拟后端关闭</w:t>
            </w:r>
          </w:p>
        </w:tc>
        <w:tc>
          <w:tcPr>
            <w:tcW w:type="dxa" w:w="75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中</w:t>
            </w:r>
          </w:p>
        </w:tc>
      </w:tr>
    </w:tbl>
    <w:p>
      <w:pPr>
        <w:pStyle w:val="Heading2"/>
      </w:pPr>
      <w:r>
        <w:t>5.2 软硬件环境需求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93"/>
        <w:gridCol w:w="2371"/>
        <w:gridCol w:w="2587"/>
        <w:gridCol w:w="2479"/>
      </w:tblGrid>
      <w:tr>
        <w:tc>
          <w:tcPr>
            <w:tcW w:type="dxa" w:w="1293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237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最低要求</w:t>
            </w:r>
          </w:p>
        </w:tc>
        <w:tc>
          <w:tcPr>
            <w:tcW w:type="dxa" w:w="258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推荐配置</w:t>
            </w:r>
          </w:p>
        </w:tc>
        <w:tc>
          <w:tcPr>
            <w:tcW w:type="dxa" w:w="2479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293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操作系统</w:t>
            </w:r>
          </w:p>
        </w:tc>
        <w:tc>
          <w:tcPr>
            <w:tcW w:type="dxa" w:w="237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Windows 10 64 位</w:t>
            </w:r>
          </w:p>
        </w:tc>
        <w:tc>
          <w:tcPr>
            <w:tcW w:type="dxa" w:w="2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Windows 11 64 位</w:t>
            </w:r>
          </w:p>
        </w:tc>
        <w:tc>
          <w:tcPr>
            <w:tcW w:type="dxa" w:w="2479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演示机已验证</w:t>
            </w:r>
          </w:p>
        </w:tc>
      </w:tr>
      <w:tr>
        <w:tc>
          <w:tcPr>
            <w:tcW w:type="dxa" w:w="129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CPU / 内存</w:t>
            </w:r>
          </w:p>
        </w:tc>
        <w:tc>
          <w:tcPr>
            <w:tcW w:type="dxa" w:w="237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 核 / 8GB</w:t>
            </w:r>
          </w:p>
        </w:tc>
        <w:tc>
          <w:tcPr>
            <w:tcW w:type="dxa" w:w="2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8 核 / 16GB</w:t>
            </w:r>
          </w:p>
        </w:tc>
        <w:tc>
          <w:tcPr>
            <w:tcW w:type="dxa" w:w="2479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CPU 推理时建议不超过 2 路视频源</w:t>
            </w:r>
          </w:p>
        </w:tc>
      </w:tr>
      <w:tr>
        <w:tc>
          <w:tcPr>
            <w:tcW w:type="dxa" w:w="1293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GPU</w:t>
            </w:r>
          </w:p>
        </w:tc>
        <w:tc>
          <w:tcPr>
            <w:tcW w:type="dxa" w:w="237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NVIDIA 4GB 显存（支持 CUDA）</w:t>
            </w:r>
          </w:p>
        </w:tc>
        <w:tc>
          <w:tcPr>
            <w:tcW w:type="dxa" w:w="2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RTX 4050 6GB（已验证）</w:t>
            </w:r>
          </w:p>
        </w:tc>
        <w:tc>
          <w:tcPr>
            <w:tcW w:type="dxa" w:w="2479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GPU 模式可支持 4 路视频源</w:t>
            </w:r>
          </w:p>
        </w:tc>
      </w:tr>
      <w:tr>
        <w:tc>
          <w:tcPr>
            <w:tcW w:type="dxa" w:w="129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磁盘</w:t>
            </w:r>
          </w:p>
        </w:tc>
        <w:tc>
          <w:tcPr>
            <w:tcW w:type="dxa" w:w="237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20GB 可用空间</w:t>
            </w:r>
          </w:p>
        </w:tc>
        <w:tc>
          <w:tcPr>
            <w:tcW w:type="dxa" w:w="2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40GB 可用空间</w:t>
            </w:r>
          </w:p>
        </w:tc>
        <w:tc>
          <w:tcPr>
            <w:tcW w:type="dxa" w:w="2479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数据集、模型与录制文件占用较大</w:t>
            </w:r>
          </w:p>
        </w:tc>
      </w:tr>
      <w:tr>
        <w:tc>
          <w:tcPr>
            <w:tcW w:type="dxa" w:w="1293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Python 环境</w:t>
            </w:r>
          </w:p>
        </w:tc>
        <w:tc>
          <w:tcPr>
            <w:tcW w:type="dxa" w:w="237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Python 3.12 + PyTorch(CUDA) + Ultralytics</w:t>
            </w:r>
          </w:p>
        </w:tc>
        <w:tc>
          <w:tcPr>
            <w:tcW w:type="dxa" w:w="2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PyTorch 2.11.0+cu128 + Ultralytics 8.4.145</w:t>
            </w:r>
          </w:p>
        </w:tc>
        <w:tc>
          <w:tcPr>
            <w:tcW w:type="dxa" w:w="2479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训练与推理环境（ai/.venv）</w:t>
            </w:r>
          </w:p>
        </w:tc>
      </w:tr>
      <w:tr>
        <w:tc>
          <w:tcPr>
            <w:tcW w:type="dxa" w:w="129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前端环境</w:t>
            </w:r>
          </w:p>
        </w:tc>
        <w:tc>
          <w:tcPr>
            <w:tcW w:type="dxa" w:w="237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Node.js 20+</w:t>
            </w:r>
          </w:p>
        </w:tc>
        <w:tc>
          <w:tcPr>
            <w:tcW w:type="dxa" w:w="2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Node.js 24（已验证）</w:t>
            </w:r>
          </w:p>
        </w:tc>
        <w:tc>
          <w:tcPr>
            <w:tcW w:type="dxa" w:w="2479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Vue3 + Vite 构建</w:t>
            </w:r>
          </w:p>
        </w:tc>
      </w:tr>
      <w:tr>
        <w:tc>
          <w:tcPr>
            <w:tcW w:type="dxa" w:w="1293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浏览器</w:t>
            </w:r>
          </w:p>
        </w:tc>
        <w:tc>
          <w:tcPr>
            <w:tcW w:type="dxa" w:w="237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Chrome / Edge 最新版</w:t>
            </w:r>
          </w:p>
        </w:tc>
        <w:tc>
          <w:tcPr>
            <w:tcW w:type="dxa" w:w="2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Chrome / Edge 最新版</w:t>
            </w:r>
          </w:p>
        </w:tc>
        <w:tc>
          <w:tcPr>
            <w:tcW w:type="dxa" w:w="2479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需支持 WebSocket 与 MJPEG</w:t>
            </w:r>
          </w:p>
        </w:tc>
      </w:tr>
      <w:tr>
        <w:tc>
          <w:tcPr>
            <w:tcW w:type="dxa" w:w="129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手机端</w:t>
            </w:r>
          </w:p>
        </w:tc>
        <w:tc>
          <w:tcPr>
            <w:tcW w:type="dxa" w:w="237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Android 8.0+</w:t>
            </w:r>
          </w:p>
        </w:tc>
        <w:tc>
          <w:tcPr>
            <w:tcW w:type="dxa" w:w="2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Android 10+</w:t>
            </w:r>
          </w:p>
        </w:tc>
        <w:tc>
          <w:tcPr>
            <w:tcW w:type="dxa" w:w="2479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安装 IP Webcam，用于局域网推流</w:t>
            </w:r>
          </w:p>
        </w:tc>
      </w:tr>
      <w:tr>
        <w:tc>
          <w:tcPr>
            <w:tcW w:type="dxa" w:w="1293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网络</w:t>
            </w:r>
          </w:p>
        </w:tc>
        <w:tc>
          <w:tcPr>
            <w:tcW w:type="dxa" w:w="237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手机热点或同一局域网</w:t>
            </w:r>
          </w:p>
        </w:tc>
        <w:tc>
          <w:tcPr>
            <w:tcW w:type="dxa" w:w="2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手机热点（规避校园网隔离）</w:t>
            </w:r>
          </w:p>
        </w:tc>
        <w:tc>
          <w:tcPr>
            <w:tcW w:type="dxa" w:w="2479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手机与电脑需互通</w:t>
            </w:r>
          </w:p>
        </w:tc>
      </w:tr>
    </w:tbl>
    <w:p>
      <w:pPr>
        <w:pStyle w:val="Heading2"/>
      </w:pPr>
      <w:r>
        <w:t>5.3 产品质量需求</w:t>
      </w:r>
    </w:p>
    <w:p>
      <w:pPr>
        <w:pStyle w:val="Heading3"/>
      </w:pPr>
      <w:r>
        <w:t>5.3.1 性能需求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84"/>
        <w:gridCol w:w="2981"/>
        <w:gridCol w:w="2981"/>
        <w:gridCol w:w="1384"/>
      </w:tblGrid>
      <w:tr>
        <w:tc>
          <w:tcPr>
            <w:tcW w:type="dxa" w:w="138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98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需求描述</w:t>
            </w:r>
          </w:p>
        </w:tc>
        <w:tc>
          <w:tcPr>
            <w:tcW w:type="dxa" w:w="298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指标 / 约束</w:t>
            </w:r>
          </w:p>
        </w:tc>
        <w:tc>
          <w:tcPr>
            <w:tcW w:type="dxa" w:w="138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验证方式</w:t>
            </w:r>
          </w:p>
        </w:tc>
      </w:tr>
      <w:tr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NFR-PERF-01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检测帧率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每路视频源 3~5 FPS（默认 4 FPS，可配置）</w:t>
            </w:r>
          </w:p>
        </w:tc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统计 FPS 与日志</w:t>
            </w:r>
          </w:p>
        </w:tc>
      </w:tr>
      <w:tr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NFR-PERF-02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端到端显示延迟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局域网内 MJPEG 画面延迟 ≤1 秒</w:t>
            </w:r>
          </w:p>
        </w:tc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画面与实物对比计时</w:t>
            </w:r>
          </w:p>
        </w:tc>
      </w:tr>
      <w:tr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NFR-PERF-03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告警时延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明火首帧命中即告警；烟雾连续 3 帧确认（默认），前端 3 秒内可见</w:t>
            </w:r>
          </w:p>
        </w:tc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触发测试视频计时</w:t>
            </w:r>
          </w:p>
        </w:tc>
      </w:tr>
      <w:tr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NFR-PERF-04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并发能力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GPU 模式 ≥4 路；CPU 模式 ≥1 路稳定运行</w:t>
            </w:r>
          </w:p>
        </w:tc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多源同时运行测试</w:t>
            </w:r>
          </w:p>
        </w:tc>
      </w:tr>
      <w:tr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NFR-PERF-05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单帧推理耗时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GPU ≤100ms（YOLO26n，640 输入）</w:t>
            </w:r>
          </w:p>
        </w:tc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推理日志统计</w:t>
            </w:r>
          </w:p>
        </w:tc>
      </w:tr>
      <w:tr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NFR-PERF-06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服务启动时间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后端含模型加载 ≤15 秒；首帧输出 ≤5 秒</w:t>
            </w:r>
          </w:p>
        </w:tc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启动计时</w:t>
            </w:r>
          </w:p>
        </w:tc>
      </w:tr>
      <w:tr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NFR-PERF-07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资源占用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单路推理 GPU 显存 ≤3GB；4 路服务内存 ≤4GB</w:t>
            </w:r>
          </w:p>
        </w:tc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nvidia-smi 与任务管理器</w:t>
            </w:r>
          </w:p>
        </w:tc>
      </w:tr>
    </w:tbl>
    <w:p>
      <w:pPr>
        <w:pStyle w:val="Heading3"/>
      </w:pPr>
      <w:r>
        <w:t>5.3.2 准确性与有效性需求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84"/>
        <w:gridCol w:w="2981"/>
        <w:gridCol w:w="2981"/>
        <w:gridCol w:w="1384"/>
      </w:tblGrid>
      <w:tr>
        <w:tc>
          <w:tcPr>
            <w:tcW w:type="dxa" w:w="138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98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需求描述</w:t>
            </w:r>
          </w:p>
        </w:tc>
        <w:tc>
          <w:tcPr>
            <w:tcW w:type="dxa" w:w="298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指标 / 约束</w:t>
            </w:r>
          </w:p>
        </w:tc>
        <w:tc>
          <w:tcPr>
            <w:tcW w:type="dxa" w:w="138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验证方式</w:t>
            </w:r>
          </w:p>
        </w:tc>
      </w:tr>
      <w:tr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NFR-ACC-01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明火检测准确率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验证集 mAP50 ≥0.70；当前首轮模型 mAP50 = 0.758（随机划分，需清洗后复核）</w:t>
            </w:r>
          </w:p>
        </w:tc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验证集评测</w:t>
            </w:r>
          </w:p>
        </w:tc>
      </w:tr>
      <w:tr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NFR-ACC-02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误报控制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负样本（云/雾/夕阳/灯光/蒸汽）误报率相对单帧检测下降 ≥30%（引入智能体复核后）</w:t>
            </w:r>
          </w:p>
        </w:tc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负样本集测试</w:t>
            </w:r>
          </w:p>
        </w:tc>
      </w:tr>
      <w:tr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NFR-ACC-03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远距离识别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远景测试集小目标召回率相对基线提升 ≥20%</w:t>
            </w:r>
          </w:p>
        </w:tc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远景测试集评测</w:t>
            </w:r>
          </w:p>
        </w:tc>
      </w:tr>
      <w:tr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NFR-ACC-04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阈值可配置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明火/烟雾置信度阈值可配置（0.05~0.99，默认 0.1）</w:t>
            </w:r>
          </w:p>
        </w:tc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设置页修改并生效</w:t>
            </w:r>
          </w:p>
        </w:tc>
      </w:tr>
      <w:tr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NFR-ACC-05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告警一致性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同一事件在冷却时间（默认 8 秒）内不重复落库</w:t>
            </w:r>
          </w:p>
        </w:tc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连续触发检查数据库</w:t>
            </w:r>
          </w:p>
        </w:tc>
      </w:tr>
    </w:tbl>
    <w:p>
      <w:pPr>
        <w:pStyle w:val="Heading3"/>
      </w:pPr>
      <w:r>
        <w:t>5.3.3 可靠性与健壮性需求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84"/>
        <w:gridCol w:w="2981"/>
        <w:gridCol w:w="2981"/>
        <w:gridCol w:w="1384"/>
      </w:tblGrid>
      <w:tr>
        <w:tc>
          <w:tcPr>
            <w:tcW w:type="dxa" w:w="138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98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需求描述</w:t>
            </w:r>
          </w:p>
        </w:tc>
        <w:tc>
          <w:tcPr>
            <w:tcW w:type="dxa" w:w="298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指标 / 约束</w:t>
            </w:r>
          </w:p>
        </w:tc>
        <w:tc>
          <w:tcPr>
            <w:tcW w:type="dxa" w:w="138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验证方式</w:t>
            </w:r>
          </w:p>
        </w:tc>
      </w:tr>
      <w:tr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NFR-REL-01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连续运行能力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连续运行 ≥2 小时无崩溃（课堂演示 ≥30 分钟）</w:t>
            </w:r>
          </w:p>
        </w:tc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长时间运行观察</w:t>
            </w:r>
          </w:p>
        </w:tc>
      </w:tr>
      <w:tr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NFR-REL-02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断流恢复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视频源断流后自动重连（退避 1s→60s），并推送离线/在线事件</w:t>
            </w:r>
          </w:p>
        </w:tc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断开视频源测试</w:t>
            </w:r>
          </w:p>
        </w:tc>
      </w:tr>
      <w:tr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NFR-REL-03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告警落库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告警写入 SQLite 成功率 100%，服务重启后数据仍可查询</w:t>
            </w:r>
          </w:p>
        </w:tc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写入与重启检查</w:t>
            </w:r>
          </w:p>
        </w:tc>
      </w:tr>
      <w:tr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NFR-REL-04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故障隔离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单路视频源或单个 worker 异常不影响其他视频源与接口服务</w:t>
            </w:r>
          </w:p>
        </w:tc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注入异常测试</w:t>
            </w:r>
          </w:p>
        </w:tc>
      </w:tr>
      <w:tr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NFR-REL-05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状态复位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视频源离线时告警状态机复位，避免重连瞬时误报</w:t>
            </w:r>
          </w:p>
        </w:tc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断流重连测试</w:t>
            </w:r>
          </w:p>
        </w:tc>
      </w:tr>
      <w:tr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NFR-REL-06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文件循环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上传视频播放结束后自动从头循环，不中断检测</w:t>
            </w:r>
          </w:p>
        </w:tc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长时间播放观察</w:t>
            </w:r>
          </w:p>
        </w:tc>
      </w:tr>
    </w:tbl>
    <w:p>
      <w:pPr>
        <w:pStyle w:val="Heading3"/>
      </w:pPr>
      <w:r>
        <w:t>5.3.4 易用性需求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84"/>
        <w:gridCol w:w="2981"/>
        <w:gridCol w:w="2981"/>
        <w:gridCol w:w="1384"/>
      </w:tblGrid>
      <w:tr>
        <w:tc>
          <w:tcPr>
            <w:tcW w:type="dxa" w:w="138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98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需求描述</w:t>
            </w:r>
          </w:p>
        </w:tc>
        <w:tc>
          <w:tcPr>
            <w:tcW w:type="dxa" w:w="298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指标 / 约束</w:t>
            </w:r>
          </w:p>
        </w:tc>
        <w:tc>
          <w:tcPr>
            <w:tcW w:type="dxa" w:w="138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验证方式</w:t>
            </w:r>
          </w:p>
        </w:tc>
      </w:tr>
      <w:tr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NFR-USE-01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操作便捷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任意核心功能 3 次点击内可达</w:t>
            </w:r>
          </w:p>
        </w:tc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操作路径检查</w:t>
            </w:r>
          </w:p>
        </w:tc>
      </w:tr>
      <w:tr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NFR-USE-02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一键启停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视频源支持一键启用/停用，无需修改配置</w:t>
            </w:r>
          </w:p>
        </w:tc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页面操作</w:t>
            </w:r>
          </w:p>
        </w:tc>
      </w:tr>
      <w:tr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NFR-USE-03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上传便捷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支持拖拽上传 MP4/MOV，单文件 ≤500MB</w:t>
            </w:r>
          </w:p>
        </w:tc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上传测试</w:t>
            </w:r>
          </w:p>
        </w:tc>
      </w:tr>
      <w:tr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NFR-USE-04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参数可解释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设置页对阈值、连续帧、冷却时间给出含义说明</w:t>
            </w:r>
          </w:p>
        </w:tc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页面文案检查</w:t>
            </w:r>
          </w:p>
        </w:tc>
      </w:tr>
      <w:tr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NFR-USE-05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演示友好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提供演示视频生成脚本与一键启动方式，非开发成员可独立完成演示</w:t>
            </w:r>
          </w:p>
        </w:tc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非开发成员实操</w:t>
            </w:r>
          </w:p>
        </w:tc>
      </w:tr>
    </w:tbl>
    <w:p>
      <w:pPr>
        <w:pStyle w:val="Heading3"/>
      </w:pPr>
      <w:r>
        <w:t>5.3.5 可维护性与可移植性需求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84"/>
        <w:gridCol w:w="2981"/>
        <w:gridCol w:w="2981"/>
        <w:gridCol w:w="1384"/>
      </w:tblGrid>
      <w:tr>
        <w:tc>
          <w:tcPr>
            <w:tcW w:type="dxa" w:w="138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98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需求描述</w:t>
            </w:r>
          </w:p>
        </w:tc>
        <w:tc>
          <w:tcPr>
            <w:tcW w:type="dxa" w:w="298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指标 / 约束</w:t>
            </w:r>
          </w:p>
        </w:tc>
        <w:tc>
          <w:tcPr>
            <w:tcW w:type="dxa" w:w="138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验证方式</w:t>
            </w:r>
          </w:p>
        </w:tc>
      </w:tr>
      <w:tr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NFR-MNT-01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模块化结构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后端按职责拆分 config/db/detector/worker/alarm_engine/events/main 模块</w:t>
            </w:r>
          </w:p>
        </w:tc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代码结构检查</w:t>
            </w:r>
          </w:p>
        </w:tc>
      </w:tr>
      <w:tr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NFR-MNT-02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自动化测试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告警状态机、数据库、接口、检测器具备自动化测试（当前 6 个用例通过）</w:t>
            </w:r>
          </w:p>
        </w:tc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pytest 运行</w:t>
            </w:r>
          </w:p>
        </w:tc>
      </w:tr>
      <w:tr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NFR-MNT-03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配置外置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模型路径、数据库路径、端口、阈值均可配置（环境变量或 settings 表）</w:t>
            </w:r>
          </w:p>
        </w:tc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修改配置验证</w:t>
            </w:r>
          </w:p>
        </w:tc>
      </w:tr>
      <w:tr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NFR-MNT-04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日志与排障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关键流程有日志输出，异常可定位到模块与时间</w:t>
            </w:r>
          </w:p>
        </w:tc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查看日志</w:t>
            </w:r>
          </w:p>
        </w:tc>
      </w:tr>
      <w:tr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NFR-MNT-05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视频源可替换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file / http / rtsp 三类源地址可直接替换，不需要改动检测链路</w:t>
            </w:r>
          </w:p>
        </w:tc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替换地址测试</w:t>
            </w:r>
          </w:p>
        </w:tc>
      </w:tr>
      <w:tr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NFR-PORT-01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部署可移植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不依赖云服务即可运行；未来可容器化并平滑切换数据库</w:t>
            </w:r>
          </w:p>
        </w:tc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文档与架构评审</w:t>
            </w:r>
          </w:p>
        </w:tc>
      </w:tr>
      <w:tr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NFR-PORT-02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跨环境运行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CPU 环境可降级运行（帧率与路数降低）</w:t>
            </w:r>
          </w:p>
        </w:tc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CPU 模式运行验证</w:t>
            </w:r>
          </w:p>
        </w:tc>
      </w:tr>
    </w:tbl>
    <w:p>
      <w:pPr>
        <w:pStyle w:val="Heading3"/>
      </w:pPr>
      <w:r>
        <w:t>5.3.6 安全与合规需求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84"/>
        <w:gridCol w:w="2981"/>
        <w:gridCol w:w="2981"/>
        <w:gridCol w:w="1384"/>
      </w:tblGrid>
      <w:tr>
        <w:tc>
          <w:tcPr>
            <w:tcW w:type="dxa" w:w="138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98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需求描述</w:t>
            </w:r>
          </w:p>
        </w:tc>
        <w:tc>
          <w:tcPr>
            <w:tcW w:type="dxa" w:w="298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指标 / 约束</w:t>
            </w:r>
          </w:p>
        </w:tc>
        <w:tc>
          <w:tcPr>
            <w:tcW w:type="dxa" w:w="138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验证方式</w:t>
            </w:r>
          </w:p>
        </w:tc>
      </w:tr>
      <w:tr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NFR-SEC-01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网络范围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系统仅部署在局域网/热点环境，不对外开放公网端口</w:t>
            </w:r>
          </w:p>
        </w:tc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网络检查</w:t>
            </w:r>
          </w:p>
        </w:tc>
      </w:tr>
      <w:tr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NFR-SEC-02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数据本地化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视频源地址、告警记录、截图均存储在本地，不上传第三方</w:t>
            </w:r>
          </w:p>
        </w:tc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存储位置检查</w:t>
            </w:r>
          </w:p>
        </w:tc>
      </w:tr>
      <w:tr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NFR-SEC-03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隐私保护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演示素材不得包含可识别人脸与个人信息；如包含须打码</w:t>
            </w:r>
          </w:p>
        </w:tc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素材审核</w:t>
            </w:r>
          </w:p>
        </w:tc>
      </w:tr>
      <w:tr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NFR-SEC-04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凭据管理</w:t>
            </w:r>
          </w:p>
        </w:tc>
        <w:tc>
          <w:tcPr>
            <w:tcW w:type="dxa" w:w="29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API Key、密码等敏感信息不写入仓库（使用环境变量，已加入 .gitignore）</w:t>
            </w:r>
          </w:p>
        </w:tc>
        <w:tc>
          <w:tcPr>
            <w:tcW w:type="dxa" w:w="138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仓库扫描</w:t>
            </w:r>
          </w:p>
        </w:tc>
      </w:tr>
      <w:tr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NFR-SEC-05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数据合规</w:t>
            </w:r>
          </w:p>
        </w:tc>
        <w:tc>
          <w:tcPr>
            <w:tcW w:type="dxa" w:w="29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数据集仅用于学术探索，标注来源与许可；模型权重不随仓库分发</w:t>
            </w:r>
          </w:p>
        </w:tc>
        <w:tc>
          <w:tcPr>
            <w:tcW w:type="dxa" w:w="13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文档与仓库检查</w:t>
            </w:r>
          </w:p>
        </w:tc>
      </w:tr>
    </w:tbl>
    <w:p>
      <w:pPr>
        <w:pStyle w:val="Heading2"/>
      </w:pPr>
      <w:r>
        <w:t>5.4 接口需求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51"/>
        <w:gridCol w:w="2686"/>
        <w:gridCol w:w="2590"/>
        <w:gridCol w:w="2303"/>
      </w:tblGrid>
      <w:tr>
        <w:tc>
          <w:tcPr>
            <w:tcW w:type="dxa" w:w="115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686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590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协议 / 形式</w:t>
            </w:r>
          </w:p>
        </w:tc>
        <w:tc>
          <w:tcPr>
            <w:tcW w:type="dxa" w:w="2303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指标 / 约束</w:t>
            </w:r>
          </w:p>
        </w:tc>
      </w:tr>
      <w:tr>
        <w:tc>
          <w:tcPr>
            <w:tcW w:type="dxa" w:w="115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NFR-API-01</w:t>
            </w:r>
          </w:p>
        </w:tc>
        <w:tc>
          <w:tcPr>
            <w:tcW w:type="dxa" w:w="268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业务接口</w:t>
            </w:r>
          </w:p>
        </w:tc>
        <w:tc>
          <w:tcPr>
            <w:tcW w:type="dxa" w:w="2590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REST（/api/cameras、/api/uploads、/api/alarms、/api/settings、/api/dashboard）</w:t>
            </w:r>
          </w:p>
        </w:tc>
        <w:tc>
          <w:tcPr>
            <w:tcW w:type="dxa" w:w="23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CRUD 响应 ≤500ms，返回 JSON</w:t>
            </w:r>
          </w:p>
        </w:tc>
      </w:tr>
      <w:tr>
        <w:tc>
          <w:tcPr>
            <w:tcW w:type="dxa" w:w="115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NFR-API-02</w:t>
            </w:r>
          </w:p>
        </w:tc>
        <w:tc>
          <w:tcPr>
            <w:tcW w:type="dxa" w:w="268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实时事件</w:t>
            </w:r>
          </w:p>
        </w:tc>
        <w:tc>
          <w:tcPr>
            <w:tcW w:type="dxa" w:w="259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WebSocket（/ws/events）</w:t>
            </w:r>
          </w:p>
        </w:tc>
        <w:tc>
          <w:tcPr>
            <w:tcW w:type="dxa" w:w="230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事件延迟 ≤1s；断线 5s 内自动重连</w:t>
            </w:r>
          </w:p>
        </w:tc>
      </w:tr>
      <w:tr>
        <w:tc>
          <w:tcPr>
            <w:tcW w:type="dxa" w:w="115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NFR-API-03</w:t>
            </w:r>
          </w:p>
        </w:tc>
        <w:tc>
          <w:tcPr>
            <w:tcW w:type="dxa" w:w="268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实时画面</w:t>
            </w:r>
          </w:p>
        </w:tc>
        <w:tc>
          <w:tcPr>
            <w:tcW w:type="dxa" w:w="2590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MJPEG（/stream/{camera_id}）</w:t>
            </w:r>
          </w:p>
        </w:tc>
        <w:tc>
          <w:tcPr>
            <w:tcW w:type="dxa" w:w="23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帧率 ≥3 FPS，支持多标签页同时观看</w:t>
            </w:r>
          </w:p>
        </w:tc>
      </w:tr>
      <w:tr>
        <w:tc>
          <w:tcPr>
            <w:tcW w:type="dxa" w:w="115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NFR-API-04</w:t>
            </w:r>
          </w:p>
        </w:tc>
        <w:tc>
          <w:tcPr>
            <w:tcW w:type="dxa" w:w="268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视频源接入</w:t>
            </w:r>
          </w:p>
        </w:tc>
        <w:tc>
          <w:tcPr>
            <w:tcW w:type="dxa" w:w="259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file（本地视频）/ http（IP Webcam）/ rtsp（网络摄像头）</w:t>
            </w:r>
          </w:p>
        </w:tc>
        <w:tc>
          <w:tcPr>
            <w:tcW w:type="dxa" w:w="230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地址可配置，断流自动重连</w:t>
            </w:r>
          </w:p>
        </w:tc>
      </w:tr>
      <w:tr>
        <w:tc>
          <w:tcPr>
            <w:tcW w:type="dxa" w:w="115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NFR-API-05</w:t>
            </w:r>
          </w:p>
        </w:tc>
        <w:tc>
          <w:tcPr>
            <w:tcW w:type="dxa" w:w="268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数据存储</w:t>
            </w:r>
          </w:p>
        </w:tc>
        <w:tc>
          <w:tcPr>
            <w:tcW w:type="dxa" w:w="2590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SQLite（cameras / alarms / settings）</w:t>
            </w:r>
          </w:p>
        </w:tc>
        <w:tc>
          <w:tcPr>
            <w:tcW w:type="dxa" w:w="23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本地事务写入，支持导出备份</w:t>
            </w:r>
          </w:p>
        </w:tc>
      </w:tr>
    </w:tbl>
    <w:p>
      <w:pPr>
        <w:pStyle w:val="Heading2"/>
      </w:pPr>
      <w:r>
        <w:t>5.5 数据需求与合规约束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47"/>
        <w:gridCol w:w="3166"/>
        <w:gridCol w:w="4317"/>
      </w:tblGrid>
      <w:tr>
        <w:tc>
          <w:tcPr>
            <w:tcW w:type="dxa" w:w="124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3166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需求描述</w:t>
            </w:r>
          </w:p>
        </w:tc>
        <w:tc>
          <w:tcPr>
            <w:tcW w:type="dxa" w:w="431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指标 / 约束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NFR-DATA-01</w:t>
            </w:r>
          </w:p>
        </w:tc>
        <w:tc>
          <w:tcPr>
            <w:tcW w:type="dxa" w:w="316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数据留存</w:t>
            </w:r>
          </w:p>
        </w:tc>
        <w:tc>
          <w:tcPr>
            <w:tcW w:type="dxa" w:w="431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告警记录保留至少一个学期；可导出 CSV 用于统计与报告</w:t>
            </w:r>
          </w:p>
        </w:tc>
      </w:tr>
      <w:tr>
        <w:tc>
          <w:tcPr>
            <w:tcW w:type="dxa" w:w="124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NFR-DATA-02</w:t>
            </w:r>
          </w:p>
        </w:tc>
        <w:tc>
          <w:tcPr>
            <w:tcW w:type="dxa" w:w="316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时间精度</w:t>
            </w:r>
          </w:p>
        </w:tc>
        <w:tc>
          <w:tcPr>
            <w:tcW w:type="dxa" w:w="431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告警时间戳精确到秒，采用本地时间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NFR-DATA-03</w:t>
            </w:r>
          </w:p>
        </w:tc>
        <w:tc>
          <w:tcPr>
            <w:tcW w:type="dxa" w:w="316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上传文件管理</w:t>
            </w:r>
          </w:p>
        </w:tc>
        <w:tc>
          <w:tcPr>
            <w:tcW w:type="dxa" w:w="431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上传视频存放于 storage/uploads/，单文件 ≤500MB，超限提示</w:t>
            </w:r>
          </w:p>
        </w:tc>
      </w:tr>
      <w:tr>
        <w:tc>
          <w:tcPr>
            <w:tcW w:type="dxa" w:w="124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NFR-DATA-04</w:t>
            </w:r>
          </w:p>
        </w:tc>
        <w:tc>
          <w:tcPr>
            <w:tcW w:type="dxa" w:w="316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数据集管理</w:t>
            </w:r>
          </w:p>
        </w:tc>
        <w:tc>
          <w:tcPr>
            <w:tcW w:type="dxa" w:w="431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数据集与模型权重不进入 Git；数据版本 v1（原始）/ v1.1（清洗）/ v2（扩充）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NFR-DATA-05</w:t>
            </w:r>
          </w:p>
        </w:tc>
        <w:tc>
          <w:tcPr>
            <w:tcW w:type="dxa" w:w="316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训练数据质量</w:t>
            </w:r>
          </w:p>
        </w:tc>
        <w:tc>
          <w:tcPr>
            <w:tcW w:type="dxa" w:w="431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训练前完成重复检测与去重，划分按相似组进行，避免验证集泄漏</w:t>
            </w:r>
          </w:p>
        </w:tc>
      </w:tr>
      <w:tr>
        <w:tc>
          <w:tcPr>
            <w:tcW w:type="dxa" w:w="124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NFR-DATA-06</w:t>
            </w:r>
          </w:p>
        </w:tc>
        <w:tc>
          <w:tcPr>
            <w:tcW w:type="dxa" w:w="316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备份与恢复</w:t>
            </w:r>
          </w:p>
        </w:tc>
        <w:tc>
          <w:tcPr>
            <w:tcW w:type="dxa" w:w="431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备份 storage/*.db 即可恢复配置与告警记录；提供操作说明</w:t>
            </w:r>
          </w:p>
        </w:tc>
      </w:tr>
    </w:tbl>
    <w:p>
      <w:pPr>
        <w:pStyle w:val="Heading2"/>
      </w:pPr>
      <w:r>
        <w:t>5.6 其它需求</w:t>
      </w:r>
    </w:p>
    <w:p>
      <w:pPr>
        <w:pStyle w:val="ListNumber"/>
      </w:pPr>
      <w:r>
        <w:rPr>
          <w:rFonts w:ascii="Times New Roman" w:hAnsi="Times New Roman" w:eastAsia="宋体"/>
        </w:rPr>
        <w:t>文档要求：需求规格说明书、项目章程、软件介绍、工作任务分解说明书按课程模板提交，含过程证据与分工说明；</w:t>
      </w:r>
    </w:p>
    <w:p>
      <w:pPr>
        <w:pStyle w:val="ListNumber"/>
      </w:pPr>
      <w:r>
        <w:rPr>
          <w:rFonts w:ascii="Times New Roman" w:hAnsi="Times New Roman" w:eastAsia="宋体"/>
        </w:rPr>
        <w:t>演示要求：课堂演示不使用真实火源，采用手机推流 + 上传视频双通道，演示前完成全链路预演；</w:t>
      </w:r>
    </w:p>
    <w:p>
      <w:pPr>
        <w:pStyle w:val="ListNumber"/>
      </w:pPr>
      <w:r>
        <w:rPr>
          <w:rFonts w:ascii="Times New Roman" w:hAnsi="Times New Roman" w:eastAsia="宋体"/>
        </w:rPr>
        <w:t>可追溯要求：需求编号与测试用例建立追踪矩阵，评审意见与修改留痕；</w:t>
      </w:r>
    </w:p>
    <w:p>
      <w:pPr>
        <w:pStyle w:val="ListNumber"/>
      </w:pPr>
      <w:r>
        <w:rPr>
          <w:rFonts w:ascii="Times New Roman" w:hAnsi="Times New Roman" w:eastAsia="宋体"/>
        </w:rPr>
        <w:t>演进要求：架构保留智能体复核、远距离识别、MediaMTX 多路流与数据库切换的扩展空间。</w:t>
      </w:r>
    </w:p>
    <w:p>
      <w:pPr>
        <w:pStyle w:val="Heading2"/>
      </w:pPr>
      <w:r>
        <w:t>5.7 非功能需求追踪矩阵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89"/>
        <w:gridCol w:w="2182"/>
        <w:gridCol w:w="2282"/>
        <w:gridCol w:w="1587"/>
        <w:gridCol w:w="1289"/>
      </w:tblGrid>
      <w:tr>
        <w:tc>
          <w:tcPr>
            <w:tcW w:type="dxa" w:w="1389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183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需求要点</w:t>
            </w:r>
          </w:p>
        </w:tc>
        <w:tc>
          <w:tcPr>
            <w:tcW w:type="dxa" w:w="2282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验证方式</w:t>
            </w:r>
          </w:p>
        </w:tc>
        <w:tc>
          <w:tcPr>
            <w:tcW w:type="dxa" w:w="158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负责人</w:t>
            </w:r>
          </w:p>
        </w:tc>
        <w:tc>
          <w:tcPr>
            <w:tcW w:type="dxa" w:w="1290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389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NFR-UI-01~08</w:t>
            </w:r>
          </w:p>
        </w:tc>
        <w:tc>
          <w:tcPr>
            <w:tcW w:type="dxa" w:w="218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界面与交互需求</w:t>
            </w:r>
          </w:p>
        </w:tc>
        <w:tc>
          <w:tcPr>
            <w:tcW w:type="dxa" w:w="228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页面检查、操作计时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李汶航</w:t>
            </w:r>
          </w:p>
        </w:tc>
        <w:tc>
          <w:tcPr>
            <w:tcW w:type="dxa" w:w="1290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部分已验证</w:t>
            </w:r>
          </w:p>
        </w:tc>
      </w:tr>
      <w:tr>
        <w:tc>
          <w:tcPr>
            <w:tcW w:type="dxa" w:w="1389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NFR-PERF-01~07</w:t>
            </w:r>
          </w:p>
        </w:tc>
        <w:tc>
          <w:tcPr>
            <w:tcW w:type="dxa" w:w="218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性能指标</w:t>
            </w:r>
          </w:p>
        </w:tc>
        <w:tc>
          <w:tcPr>
            <w:tcW w:type="dxa" w:w="2282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计时、日志、资源监控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蔡俊杰</w:t>
            </w:r>
          </w:p>
        </w:tc>
        <w:tc>
          <w:tcPr>
            <w:tcW w:type="dxa" w:w="129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部分已验证</w:t>
            </w:r>
          </w:p>
        </w:tc>
      </w:tr>
      <w:tr>
        <w:tc>
          <w:tcPr>
            <w:tcW w:type="dxa" w:w="1389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NFR-ACC-01~05</w:t>
            </w:r>
          </w:p>
        </w:tc>
        <w:tc>
          <w:tcPr>
            <w:tcW w:type="dxa" w:w="218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准确性与误报控制</w:t>
            </w:r>
          </w:p>
        </w:tc>
        <w:tc>
          <w:tcPr>
            <w:tcW w:type="dxa" w:w="228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验证集、负样本、远景测试集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蔡俊杰、欧阳宇康</w:t>
            </w:r>
          </w:p>
        </w:tc>
        <w:tc>
          <w:tcPr>
            <w:tcW w:type="dxa" w:w="1290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待数据治理后验证</w:t>
            </w:r>
          </w:p>
        </w:tc>
      </w:tr>
      <w:tr>
        <w:tc>
          <w:tcPr>
            <w:tcW w:type="dxa" w:w="1389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NFR-REL-01~06</w:t>
            </w:r>
          </w:p>
        </w:tc>
        <w:tc>
          <w:tcPr>
            <w:tcW w:type="dxa" w:w="218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可靠性</w:t>
            </w:r>
          </w:p>
        </w:tc>
        <w:tc>
          <w:tcPr>
            <w:tcW w:type="dxa" w:w="2282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断流、重启、长时运行测试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欧阳宇康</w:t>
            </w:r>
          </w:p>
        </w:tc>
        <w:tc>
          <w:tcPr>
            <w:tcW w:type="dxa" w:w="129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部分已验证</w:t>
            </w:r>
          </w:p>
        </w:tc>
      </w:tr>
      <w:tr>
        <w:tc>
          <w:tcPr>
            <w:tcW w:type="dxa" w:w="1389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NFR-USE-01~05</w:t>
            </w:r>
          </w:p>
        </w:tc>
        <w:tc>
          <w:tcPr>
            <w:tcW w:type="dxa" w:w="218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易用性</w:t>
            </w:r>
          </w:p>
        </w:tc>
        <w:tc>
          <w:tcPr>
            <w:tcW w:type="dxa" w:w="228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操作路径与实测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李汶航</w:t>
            </w:r>
          </w:p>
        </w:tc>
        <w:tc>
          <w:tcPr>
            <w:tcW w:type="dxa" w:w="1290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已验证</w:t>
            </w:r>
          </w:p>
        </w:tc>
      </w:tr>
      <w:tr>
        <w:tc>
          <w:tcPr>
            <w:tcW w:type="dxa" w:w="1389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NFR-MNT / NFR-PORT</w:t>
            </w:r>
          </w:p>
        </w:tc>
        <w:tc>
          <w:tcPr>
            <w:tcW w:type="dxa" w:w="218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可维护与可移植</w:t>
            </w:r>
          </w:p>
        </w:tc>
        <w:tc>
          <w:tcPr>
            <w:tcW w:type="dxa" w:w="2282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代码结构检查、pytest、配置修改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蔡俊杰、陈泽恩</w:t>
            </w:r>
          </w:p>
        </w:tc>
        <w:tc>
          <w:tcPr>
            <w:tcW w:type="dxa" w:w="129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部分已验证</w:t>
            </w:r>
          </w:p>
        </w:tc>
      </w:tr>
      <w:tr>
        <w:tc>
          <w:tcPr>
            <w:tcW w:type="dxa" w:w="1389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NFR-SEC-01~05</w:t>
            </w:r>
          </w:p>
        </w:tc>
        <w:tc>
          <w:tcPr>
            <w:tcW w:type="dxa" w:w="218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安全与合规</w:t>
            </w:r>
          </w:p>
        </w:tc>
        <w:tc>
          <w:tcPr>
            <w:tcW w:type="dxa" w:w="228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仓库扫描、素材审核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陈泽恩、欧阳宇康</w:t>
            </w:r>
          </w:p>
        </w:tc>
        <w:tc>
          <w:tcPr>
            <w:tcW w:type="dxa" w:w="1290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待检查</w:t>
            </w:r>
          </w:p>
        </w:tc>
      </w:tr>
      <w:tr>
        <w:tc>
          <w:tcPr>
            <w:tcW w:type="dxa" w:w="1389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NFR-API-01~05</w:t>
            </w:r>
          </w:p>
        </w:tc>
        <w:tc>
          <w:tcPr>
            <w:tcW w:type="dxa" w:w="218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接口需求</w:t>
            </w:r>
          </w:p>
        </w:tc>
        <w:tc>
          <w:tcPr>
            <w:tcW w:type="dxa" w:w="2282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接口联调测试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蔡俊杰、李汶航</w:t>
            </w:r>
          </w:p>
        </w:tc>
        <w:tc>
          <w:tcPr>
            <w:tcW w:type="dxa" w:w="129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已验证</w:t>
            </w:r>
          </w:p>
        </w:tc>
      </w:tr>
      <w:tr>
        <w:tc>
          <w:tcPr>
            <w:tcW w:type="dxa" w:w="1389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NFR-DATA-01~06</w:t>
            </w:r>
          </w:p>
        </w:tc>
        <w:tc>
          <w:tcPr>
            <w:tcW w:type="dxa" w:w="218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数据需求</w:t>
            </w:r>
          </w:p>
        </w:tc>
        <w:tc>
          <w:tcPr>
            <w:tcW w:type="dxa" w:w="228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数据治理流程与备份演练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欧阳宇康、陈泽恩</w:t>
            </w:r>
          </w:p>
        </w:tc>
        <w:tc>
          <w:tcPr>
            <w:tcW w:type="dxa" w:w="1290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进行中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440" w:right="1474" w:bottom="1440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 w:before="0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0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30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0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