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eastAsia="黑体"/>
          <w:b/>
          <w:color w:val="1F4D78"/>
          <w:sz w:val="48"/>
        </w:rPr>
        <w:t>火情智能监测与预警系统</w:t>
      </w:r>
    </w:p>
    <w:p>
      <w:pPr>
        <w:jc w:val="center"/>
      </w:pPr>
      <w:r>
        <w:rPr>
          <w:rFonts w:ascii="Times New Roman" w:hAnsi="Times New Roman" w:eastAsia="黑体"/>
          <w:b w:val="0"/>
          <w:color w:val="404040"/>
          <w:sz w:val="28"/>
        </w:rPr>
        <w:t>图表说明与绘制要点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文档编号：FGA-FIG-2026-001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79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5670"/>
      </w:tblGrid>
      <w:tr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669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用途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把各图的组成与逻辑用文字固化，便于手工重绘、评审与引用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适用文档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软件介绍、需求规格说明书、工作任务分解说明书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版本 / 日期</w:t>
            </w:r>
          </w:p>
        </w:tc>
        <w:tc>
          <w:tcPr>
            <w:tcW w:type="dxa" w:w="5669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v1.0 / 2026 年 9 月 10 日</w:t>
            </w:r>
          </w:p>
        </w:tc>
      </w:tr>
      <w:tr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编制</w:t>
            </w:r>
          </w:p>
        </w:tc>
        <w:tc>
          <w:tcPr>
            <w:tcW w:type="dxa" w:w="5669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</w:tr>
    </w:tbl>
    <w:p>
      <w:r>
        <w:br w:type="page"/>
      </w:r>
    </w:p>
    <w:p>
      <w:pPr>
        <w:pStyle w:val="Heading1"/>
      </w:pPr>
      <w:r>
        <w:t>1. 图表清单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7"/>
        <w:gridCol w:w="1701"/>
        <w:gridCol w:w="2608"/>
        <w:gridCol w:w="2381"/>
        <w:gridCol w:w="1134"/>
      </w:tblGrid>
      <w:tr>
        <w:tc>
          <w:tcPr>
            <w:tcW w:type="dxa" w:w="90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38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建议出现位置</w:t>
            </w:r>
          </w:p>
        </w:tc>
        <w:tc>
          <w:tcPr>
            <w:tcW w:type="dxa" w:w="113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建议工具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1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系统总体架构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说明系统分层与各层职责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软件介绍、需求规格说明书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Visio / ProcessOn / draw.io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2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系统数据流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说明一帧视频从输入到告警展示的完整链路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需求规格说明书、设计文档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Visio / ProcessOn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3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告警判定状态机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说明预警级别如何产生、复位与冷却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需求规格说明书、设计文档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Visio / draw.io</w:t>
            </w:r>
          </w:p>
        </w:tc>
      </w:tr>
      <w:tr>
        <w:tc>
          <w:tcPr>
            <w:tcW w:type="dxa" w:w="90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4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WBS 树状图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展示工作分解层级与编号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工作任务分解说明书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ProcessOn / Microsoft Project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5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项目甘特图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展示任务工期与里程碑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工作任务分解说明书</w:t>
            </w:r>
          </w:p>
        </w:tc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Microsoft Project</w:t>
            </w:r>
          </w:p>
        </w:tc>
      </w:tr>
    </w:tbl>
    <w:p>
      <w:pPr>
        <w:pStyle w:val="Heading1"/>
      </w:pPr>
      <w:r>
        <w:t>2. 图 1 系统总体架构：绘制逻辑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绘制逻辑：自上而下分成六层，每层用一个横向长条表示；层与层之间只用单向箭头连接，表示依赖与数据方向，不要画交叉斜线。层内用短词列举职责，每层不超过 6 个关键词。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4536"/>
        <w:gridCol w:w="2381"/>
      </w:tblGrid>
      <w:tr>
        <w:tc>
          <w:tcPr>
            <w:tcW w:type="dxa" w:w="181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层次（自上而下）</w:t>
            </w:r>
          </w:p>
        </w:tc>
        <w:tc>
          <w:tcPr>
            <w:tcW w:type="dxa" w:w="453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层内内容</w:t>
            </w:r>
          </w:p>
        </w:tc>
        <w:tc>
          <w:tcPr>
            <w:tcW w:type="dxa" w:w="238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与上下层的连接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用户层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值班人员、系统管理员、项目评审/教师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向下：操作与查看请求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展示层</w:t>
            </w:r>
          </w:p>
        </w:tc>
        <w:tc>
          <w:tcPr>
            <w:tcW w:type="dxa" w:w="45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+ Element Plus + ECharts；监控总览、实时监控、告警中心、视频源管理、系统设置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向下：REST 接口、WebSocket 事件、MJPEG 画面流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服务层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FastAPI；REST 接口、WebSocket 推送、MJPEG 流、检测 worker、告警规则引擎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向下：调用检测能力；向右：读写数据存储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AI 与智能体层</w:t>
            </w:r>
          </w:p>
        </w:tc>
        <w:tc>
          <w:tcPr>
            <w:tcW w:type="dxa" w:w="45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左：智能体复核（多尺度切片 + 时序融合 + 视觉语言模型复核，规划中）；右：YOLO26n 自训练检测模型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向下：从视频接入层取帧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视频接入层</w:t>
            </w:r>
          </w:p>
        </w:tc>
        <w:tc>
          <w:tcPr>
            <w:tcW w:type="dxa" w:w="45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 IP Webcam 推流、本地上传 MP4（循环）、RTSP 摄像头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向下：视频来源</w:t>
            </w:r>
          </w:p>
        </w:tc>
      </w:tr>
      <w:tr>
        <w:tc>
          <w:tcPr>
            <w:tcW w:type="dxa" w:w="181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数据存储与运行环境</w:t>
            </w:r>
          </w:p>
        </w:tc>
        <w:tc>
          <w:tcPr>
            <w:tcW w:type="dxa" w:w="45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SQLite（视频源/告警/配置）+ 上传文件目录；Windows 笔记本（RTX 4050）单机部署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作为底座，不用箭头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可直接写入文档的文字描述：系统自上而下分为用户层、展示层、服务层、AI 与智能体层、视频接入层，底层为数据存储与运行环境。用户通过浏览器访问展示层；展示层通过 REST 接口、WebSocket 事件与 MJPEG 画面流与服务层交互；服务层中的检测 worker 调用 AI 层模型，对视频接入层的画面进行抽帧检测；检测结果由告警规则引擎判定后写入数据存储，并实时推送到前端展示。智能体复核作为 AI 层的一个分支，对低置信或高风险样本做二次判断。</w:t>
      </w:r>
    </w:p>
    <w:p>
      <w:pPr>
        <w:pStyle w:val="Heading2"/>
      </w:pPr>
      <w:r>
        <w:t>重绘要点</w:t>
      </w:r>
    </w:p>
    <w:p>
      <w:pPr>
        <w:pStyle w:val="ListNumber"/>
      </w:pPr>
      <w:r>
        <w:rPr>
          <w:rFonts w:ascii="Times New Roman" w:hAnsi="Times New Roman" w:eastAsia="宋体"/>
        </w:rPr>
        <w:t>先画 6 个等宽横向矩形，间距一致，边距留白；</w:t>
      </w:r>
    </w:p>
    <w:p>
      <w:pPr>
        <w:pStyle w:val="ListNumber"/>
      </w:pPr>
      <w:r>
        <w:rPr>
          <w:rFonts w:ascii="Times New Roman" w:hAnsi="Times New Roman" w:eastAsia="宋体"/>
        </w:rPr>
        <w:t>箭头只连接相邻层，竖直向下；服务层到数据存储可用一条向右箭头；</w:t>
      </w:r>
    </w:p>
    <w:p>
      <w:pPr>
        <w:pStyle w:val="ListNumber"/>
      </w:pPr>
      <w:r>
        <w:rPr>
          <w:rFonts w:ascii="Times New Roman" w:hAnsi="Times New Roman" w:eastAsia="宋体"/>
        </w:rPr>
        <w:t>颜色：功能层浅蓝、AI 层浅橙、智能体层浅红、存储层浅绿、用户层与运行环境浅灰；</w:t>
      </w:r>
    </w:p>
    <w:p>
      <w:pPr>
        <w:pStyle w:val="ListNumber"/>
      </w:pPr>
      <w:r>
        <w:rPr>
          <w:rFonts w:ascii="Times New Roman" w:hAnsi="Times New Roman" w:eastAsia="宋体"/>
        </w:rPr>
        <w:t>文字用 10~12 磅，层内项目用顿号分隔，不要写整句；</w:t>
      </w:r>
    </w:p>
    <w:p>
      <w:pPr>
        <w:pStyle w:val="ListNumber"/>
      </w:pPr>
      <w:r>
        <w:rPr>
          <w:rFonts w:ascii="Times New Roman" w:hAnsi="Times New Roman" w:eastAsia="宋体"/>
        </w:rPr>
        <w:t>导出 PNG（300dpi）后插入文档，图题写在图下方。</w:t>
      </w:r>
    </w:p>
    <w:p>
      <w:pPr>
        <w:pStyle w:val="Heading1"/>
      </w:pPr>
      <w:r>
        <w:t>3. 图 2 系统数据流：绘制逻辑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0"/>
        <w:gridCol w:w="1360"/>
        <w:gridCol w:w="2268"/>
        <w:gridCol w:w="2948"/>
        <w:gridCol w:w="1474"/>
      </w:tblGrid>
      <w:tr>
        <w:tc>
          <w:tcPr>
            <w:tcW w:type="dxa" w:w="68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26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94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视频源接入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 / 上传视频 / RTSP</w:t>
            </w:r>
          </w:p>
        </w:tc>
        <w:tc>
          <w:tcPr>
            <w:tcW w:type="dxa" w:w="294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统一为视频源对象并按需启动检测任务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视频帧序列</w:t>
            </w:r>
          </w:p>
        </w:tc>
      </w:tr>
      <w:tr>
        <w:tc>
          <w:tcPr>
            <w:tcW w:type="dxa" w:w="68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抽帧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视频帧序列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按 3~5 FPS 取帧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待检测图像帧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模型检测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图像帧</w:t>
            </w:r>
          </w:p>
        </w:tc>
        <w:tc>
          <w:tcPr>
            <w:tcW w:type="dxa" w:w="294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YOLO26n 推理，输出火/烟目标框与置信度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检测结果列表</w:t>
            </w:r>
          </w:p>
        </w:tc>
      </w:tr>
      <w:tr>
        <w:tc>
          <w:tcPr>
            <w:tcW w:type="dxa" w:w="68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告警判定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检测结果序列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连续帧确认 + 阈值 + 冷却时间（智能体复核为规划增强）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状态、风险分、告警事件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存储与推送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告警事件、标注帧</w:t>
            </w:r>
          </w:p>
        </w:tc>
        <w:tc>
          <w:tcPr>
            <w:tcW w:type="dxa" w:w="294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写入 SQLite，WebSocket 广播，缓存最新标注帧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告警记录、实时事件、MJPEG 帧</w:t>
            </w:r>
          </w:p>
        </w:tc>
      </w:tr>
      <w:tr>
        <w:tc>
          <w:tcPr>
            <w:tcW w:type="dxa" w:w="68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前端展示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事件与画面流</w:t>
            </w:r>
          </w:p>
        </w:tc>
        <w:tc>
          <w:tcPr>
            <w:tcW w:type="dxa" w:w="294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更新视频墙、检测框、告警弹窗与统计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用户可见的监控界面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支路说明：标注后的帧单独缓存，供 MJPEG 接口输出到前端；告警记录除实时推送外，还用于历史查询与统计图表。绘制时主线用一条横向流程，支路用虚线箭头指向右侧的"历史与统计"方框。</w:t>
      </w:r>
    </w:p>
    <w:p>
      <w:pPr>
        <w:pStyle w:val="Heading1"/>
      </w:pPr>
      <w:r>
        <w:t>4. 图 3 告警判定状态机：绘制逻辑（重点）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这张图必须与代码实现一致：明火不经过黄色预警，直接进入红色告警；烟雾必须先做连续帧计数。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175"/>
        <w:gridCol w:w="385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17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85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进入条件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normal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正常状态，无有效烟火目标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当前帧没有超过阈值的 fire/smoke，或从其他状态复位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疑似烟雾（计数中）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检出烟雾但未达到连续帧要求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当前帧 smoke 置信度 ≥ 阈值，计数 +1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warning（黄色预警）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连续检出烟雾达到 N 帧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smoke 计数 ≥ 连续帧数（默认 3）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critical（红色告警）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检出明火，需立即处置</w:t>
            </w:r>
          </w:p>
        </w:tc>
        <w:tc>
          <w:tcPr>
            <w:tcW w:type="dxa" w:w="385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当前帧 fire 置信度 ≥ 阈值（任意状态都可进入）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3"/>
        <w:gridCol w:w="2041"/>
        <w:gridCol w:w="2154"/>
        <w:gridCol w:w="3742"/>
      </w:tblGrid>
      <w:tr>
        <w:tc>
          <w:tcPr>
            <w:tcW w:type="dxa" w:w="7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04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迁移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374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动作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normal → 疑似烟雾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smoke ≥ 阈值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计数置 1，状态不变为告警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疑似烟雾 → 疑似烟雾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连续帧仍检出 smoke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计数 +1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疑似烟雾 → warning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计数 ≥ 连续帧数 N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状态置 warning，风险分 45 + 25×置信度；冷却允许则落库黄色告警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任意状态 → critical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fire ≥ 阈值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状态置 critical，风险分 80 + 15×置信度，烟雾计数清零；冷却允许则落库红色告警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疑似烟雾 / warning → normal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当前帧无有效烟火目标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计数清零，状态置 normal，风险分置 0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critical → normal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后续帧不再检出有效 fire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同序号 5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204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任意状态 → normal（复位）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视频源断流或重连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计数、冷却计时、风险分全部复位，避免重连误报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冷却规则：距上次告警落库不足 8 秒时，只更新状态与风险分，不重复写入告警记录。绘制时不要把冷却画成一个状态，应写成图注或旁注文字。</w:t>
      </w:r>
    </w:p>
    <w:p>
      <w:pPr>
        <w:pStyle w:val="Heading2"/>
      </w:pPr>
      <w:r>
        <w:t>重绘要点</w:t>
      </w:r>
    </w:p>
    <w:p>
      <w:pPr>
        <w:pStyle w:val="ListNumber"/>
      </w:pPr>
      <w:r>
        <w:rPr>
          <w:rFonts w:ascii="Times New Roman" w:hAnsi="Times New Roman" w:eastAsia="宋体"/>
        </w:rPr>
        <w:t>四个状态排成"上三下一"：normal、疑似烟雾、warning 在上排，critical 在下排居中；</w:t>
      </w:r>
    </w:p>
    <w:p>
      <w:pPr>
        <w:pStyle w:val="ListNumber"/>
      </w:pPr>
      <w:r>
        <w:rPr>
          <w:rFonts w:ascii="Times New Roman" w:hAnsi="Times New Roman" w:eastAsia="宋体"/>
        </w:rPr>
        <w:t>烟雾链路用橙色实线箭头（normal→疑似→warning），并在疑似烟雾上加一个自环箭头表示计数 +1；</w:t>
      </w:r>
    </w:p>
    <w:p>
      <w:pPr>
        <w:pStyle w:val="ListNumber"/>
      </w:pPr>
      <w:r>
        <w:rPr>
          <w:rFonts w:ascii="Times New Roman" w:hAnsi="Times New Roman" w:eastAsia="宋体"/>
        </w:rPr>
        <w:t>明火链路用红色箭头，从 normal、疑似烟雾、warning 各画一条指向 critical，旁注"任意状态检出 fire 即触发"；</w:t>
      </w:r>
    </w:p>
    <w:p>
      <w:pPr>
        <w:pStyle w:val="ListNumber"/>
      </w:pPr>
      <w:r>
        <w:rPr>
          <w:rFonts w:ascii="Times New Roman" w:hAnsi="Times New Roman" w:eastAsia="宋体"/>
        </w:rPr>
        <w:t>复位链路用绿色虚线箭头回到 normal，旁注"当前帧无有效目标，计数清零"；</w:t>
      </w:r>
    </w:p>
    <w:p>
      <w:pPr>
        <w:pStyle w:val="ListNumber"/>
      </w:pPr>
      <w:r>
        <w:rPr>
          <w:rFonts w:ascii="Times New Roman" w:hAnsi="Times New Roman" w:eastAsia="宋体"/>
        </w:rPr>
        <w:t>冷却与离线两条规则写在图下方的方框内，不占用状态节点。</w:t>
      </w:r>
    </w:p>
    <w:p>
      <w:pPr>
        <w:pStyle w:val="Heading1"/>
      </w:pPr>
      <w:r>
        <w:t>5. 图 4 WBS 树状图：绘制逻辑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分解形式采用"项目阶段 + 交付物"混合分解，共三层，编号规则为 1.0 / 1.1 / 1.1.1。同一层级横向排列，子节点挂在其父节点正下方，避免连线交叉。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20"/>
        <w:gridCol w:w="2608"/>
        <w:gridCol w:w="5103"/>
      </w:tblGrid>
      <w:tr>
        <w:tc>
          <w:tcPr>
            <w:tcW w:type="dxa" w:w="102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608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层级内容</w:t>
            </w:r>
          </w:p>
        </w:tc>
        <w:tc>
          <w:tcPr>
            <w:tcW w:type="dxa" w:w="5102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包含的工作包示例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火情智能监测与预警系统项目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整个项目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1.1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项目管理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1.1.1 项目启动与章程；1.1.2 计划与进度控制；1.1.3 会议与文档管理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1.2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需求与设计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1.2.1 需求调查；1.2.2 需求规格说明书；1.2.3 架构与接口设计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1.3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系统开发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1.3.1 前端页面；1.3.2 后端接口；1.3.3 视频接入与实时画面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1.4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数据与模型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1.4.1 数据清洗；1.4.2 烟类与远距离数据补充；1.4.3 模型训练与评测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1.5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测试与评估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1.5.1 功能测试；1.5.2 误报与远距离评估；1.5.3 缺陷修复验证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1.6</w:t>
            </w:r>
          </w:p>
        </w:tc>
        <w:tc>
          <w:tcPr>
            <w:tcW w:type="dxa" w:w="2608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交付与结项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1.6.1 演示脚本与彩排；1.6.2 结项报告；1.6.3 材料归档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可直接写入文档的文字描述：项目按六个阶段分解为 1.1~1.6 六个二级节点，每个二级节点下再分解出三级工作包，工作包编号在其父节点编号后追加序号；每个工作包只设一名责任人，验收标准与交付物在 WBS 字典中说明。</w:t>
      </w:r>
    </w:p>
    <w:p>
      <w:pPr>
        <w:pStyle w:val="Heading1"/>
      </w:pPr>
      <w:r>
        <w:t>6. 图 5 项目甘特图：绘制逻辑</w:t>
      </w:r>
    </w:p>
    <w:p>
      <w:pPr>
        <w:pStyle w:val="ListNumber"/>
      </w:pPr>
      <w:r>
        <w:rPr>
          <w:rFonts w:ascii="Times New Roman" w:hAnsi="Times New Roman" w:eastAsia="宋体"/>
        </w:rPr>
        <w:t>横轴为周次（第 1~8 周），纵轴为 WBS 三级工作包；</w:t>
      </w:r>
    </w:p>
    <w:p>
      <w:pPr>
        <w:pStyle w:val="ListNumber"/>
      </w:pPr>
      <w:r>
        <w:rPr>
          <w:rFonts w:ascii="Times New Roman" w:hAnsi="Times New Roman" w:eastAsia="宋体"/>
        </w:rPr>
        <w:t>用条形表示工期，条形颜色区分阶段；里程碑用菱形标记（如需求定稿、首轮模型完成、系统联调、结项演示）；</w:t>
      </w:r>
    </w:p>
    <w:p>
      <w:pPr>
        <w:pStyle w:val="ListNumber"/>
      </w:pPr>
      <w:r>
        <w:rPr>
          <w:rFonts w:ascii="Times New Roman" w:hAnsi="Times New Roman" w:eastAsia="宋体"/>
        </w:rPr>
        <w:t>关键路径任务用红色边框标出，前置关系用箭头连接；</w:t>
      </w:r>
    </w:p>
    <w:p>
      <w:pPr>
        <w:pStyle w:val="ListNumber"/>
      </w:pPr>
      <w:r>
        <w:rPr>
          <w:rFonts w:ascii="Times New Roman" w:hAnsi="Times New Roman" w:eastAsia="宋体"/>
        </w:rPr>
        <w:t>图注写明：数据来源为 Microsoft Project 导出的进度计划，导出日期随文档版本更新。</w:t>
      </w:r>
    </w:p>
    <w:p>
      <w:pPr>
        <w:pStyle w:val="Heading1"/>
      </w:pPr>
      <w:r>
        <w:t>7. 图题与正文引用规范</w:t>
      </w:r>
    </w:p>
    <w:p>
      <w:pPr>
        <w:pStyle w:val="ListNumber"/>
      </w:pPr>
      <w:r>
        <w:rPr>
          <w:rFonts w:ascii="Times New Roman" w:hAnsi="Times New Roman" w:eastAsia="宋体"/>
        </w:rPr>
        <w:t>图题写在图的正下方，格式为"图 N 名称"，如"图 3 告警判定状态机"；</w:t>
      </w:r>
    </w:p>
    <w:p>
      <w:pPr>
        <w:pStyle w:val="ListNumber"/>
      </w:pPr>
      <w:r>
        <w:rPr>
          <w:rFonts w:ascii="Times New Roman" w:hAnsi="Times New Roman" w:eastAsia="宋体"/>
        </w:rPr>
        <w:t>表题写在表格上方，格式为"表 N 名称"；</w:t>
      </w:r>
    </w:p>
    <w:p>
      <w:pPr>
        <w:pStyle w:val="ListNumber"/>
      </w:pPr>
      <w:r>
        <w:rPr>
          <w:rFonts w:ascii="Times New Roman" w:hAnsi="Times New Roman" w:eastAsia="宋体"/>
        </w:rPr>
        <w:t>正文引用使用"如图 N 所示""见表 N"，每张图在正文中至少被引用一次；</w:t>
      </w:r>
    </w:p>
    <w:p>
      <w:pPr>
        <w:pStyle w:val="ListNumber"/>
      </w:pPr>
      <w:r>
        <w:rPr>
          <w:rFonts w:ascii="Times New Roman" w:hAnsi="Times New Roman" w:eastAsia="宋体"/>
        </w:rPr>
        <w:t>同一份文档内编号连续，不跨文档复用编号。</w:t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