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黑体"/>
          <w:b/>
          <w:sz w:val="36"/>
        </w:rPr>
        <w:t>软件需求规格说明书（非功能性需求部分）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说明：本章节与表格格式严格参照《软件需求规格说明书（上学期实训的）》，仅保留其第 4 章"非功能性需求"的章节与表格结构。</w:t>
      </w:r>
    </w:p>
    <w:p/>
    <w:p>
      <w:pPr>
        <w:pStyle w:val="Heading1"/>
        <w:ind w:firstLine="0"/>
      </w:pPr>
      <w:r>
        <w:t>4. 非功能性需求</w:t>
      </w:r>
    </w:p>
    <w:p>
      <w:pPr>
        <w:pStyle w:val="Heading2"/>
        <w:ind w:firstLine="0"/>
      </w:pPr>
      <w:r>
        <w:t>4.1 用户界面需求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4-1 用户界面需求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界面风格统一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系统采用统一的深色侧栏与浅色内容区风格，五个页面的布局、色彩与控件样式保持一致。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导航结构清晰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采用侧栏菜单导航，包含监控总览、实时监控、告警中心、视频源管理、系统设置五个入口，核心功能三次点击内可达。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实时画面展示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实时监控页面按视频源数量自适应排列，画面按比例缩放不拉伸，画面内显示检测框，画面旁显示目标数量、风险分、帧率与延迟。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告警提示明确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新告警在 1 秒内以弹窗提示，顶部显示未处理告警数量；告警中心支持按告警类型与处理状态筛选。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状态显示清晰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视频源显示在线/离线与启用/停用状态；页面顶部显示实时通道连接状态。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操作反馈友好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上传、启停、参数保存等操作在 500ms 内给出成功或失败提示，失败信息包含原因与处理建议。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分辨率适配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1366×768 及以上分辨率，推荐 1920×1080，页面显示正常且不出现横向滚动条。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错误提示友好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表单校验与接口异常均给出明确提示，例如"请确认后端已启动"。</w:t>
            </w:r>
          </w:p>
        </w:tc>
      </w:tr>
    </w:tbl>
    <w:p/>
    <w:p>
      <w:pPr>
        <w:pStyle w:val="Heading2"/>
        <w:ind w:firstLine="0"/>
      </w:pPr>
      <w:r>
        <w:t>4.2 软硬件环境需求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4-2 软硬件环境需求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6577"/>
      </w:tblGrid>
      <w:tr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57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服务器/演示机操作系统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Windows 10/11 64 位操作系统。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服务器硬件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4 核以上、内存 8GB 以上（推荐 16GB）、可用磁盘空间 20GB 以上。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GPU 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CUDA 的 NVIDIA 显卡，显存 4GB 以上（本项目使用 RTX 4050 6GB 验证）。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后端运行环境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Python 3.12 + PyTorch 2.11.0（CUDA）+ Ultralytics 8.4.145，运行于 ai/.venv 独立环境。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前端运行环境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Node.js 20 以上，基于 Vue3 + Vite + Element Plus + ECharts 构建。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数据库环境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使用本地 SQLite 数据库存储视频源、告警与配置数据，不依赖独立数据库服务。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浏览器环境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Chrome / Edge 最新版本，需支持 WebSocket 与 MJPEG 画面显示。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手机端环境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安卓 8.0 以上手机，安装 IP Webcam 应用，用于局域网/热点推流。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网络环境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手机与电脑处于同一局域网或手机热点，电脑可访问手机推流地址，不依赖公网。</w:t>
            </w:r>
          </w:p>
        </w:tc>
      </w:tr>
    </w:tbl>
    <w:p/>
    <w:p>
      <w:pPr>
        <w:pStyle w:val="Heading2"/>
        <w:ind w:firstLine="0"/>
      </w:pPr>
      <w:r>
        <w:t>4.3 产品质量需求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4-3 产品质量需求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7144"/>
      </w:tblGrid>
      <w:tr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主要质量属性</w:t>
            </w:r>
          </w:p>
        </w:tc>
        <w:tc>
          <w:tcPr>
            <w:tcW w:type="dxa" w:w="71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正确性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明火置信度达到阈值时产生严重告警，烟雾连续达到设定帧数后产生预警；告警记录、页面展示与统计结果保持一致；首轮模型验证集 mAP50 为 0.758，清洗数据集后复核，明火检测 mAP50 不低于 0.70。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健壮性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对不存在的视频地址、错误的文件格式、超过 500MB 的上传文件等异常输入进行校验并给出提示；单路视频源异常不影响其他视频源与接口服务。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可靠性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连续运行 2 小时无崩溃；视频源断流后按 1 秒至 60 秒退避自动重连，离线时告警状态机复位；告警写入 SQLite 成功率 100%，服务重启后记录仍可查询。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运行效率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每路视频源检测帧率 3~5 FPS（默认 4 FPS）；局域网端到端画面延迟不超过 1 秒；告警产生到前端展示不超过 3 秒；GPU 模式支持 4 路并发，CPU 模式可降级运行。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易用性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主要功能三步内可达；视频源支持一键启停；支持拖拽上传 MP4/MOV 文件；设置页对阈值、连续帧、冷却时间等参数给出含义说明。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友好性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界面简洁、术语统一；错误提示包含原因与处理建议；提供演示视频生成脚本与启动说明，非开发成员可独立完成演示操作。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安全性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系统仅部署在局域网或手机热点环境，不开放公网端口；视频源地址、告警记录与截图均存储在本地；演示素材不包含可识别的个人信息；API Key、密码等敏感信息不写入代码仓库。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可扩展性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后端按配置、数据库、检测器、检测任务、告警引擎、事件、接口等模块拆分；视频源类型、模型路径与阈值参数均可配置；预留智能体复核、远距离切片识别、多路 RTSP 接入与数据库切换的扩展空间。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