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489" w:rsidRPr="000C0489" w:rsidRDefault="000C0489" w:rsidP="000C0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489">
        <w:rPr>
          <w:rFonts w:ascii="Times New Roman" w:eastAsia="Times New Roman" w:hAnsi="Times New Roman" w:cs="Times New Roman"/>
          <w:b/>
          <w:bCs/>
          <w:sz w:val="36"/>
          <w:szCs w:val="36"/>
        </w:rPr>
        <w:t>Key Governance Risks Identified</w:t>
      </w:r>
    </w:p>
    <w:p w:rsidR="000C0489" w:rsidRPr="000C0489" w:rsidRDefault="000C0489" w:rsidP="000C04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C0489">
        <w:rPr>
          <w:rFonts w:ascii="Times New Roman" w:eastAsia="Times New Roman" w:hAnsi="Times New Roman" w:cs="Times New Roman"/>
          <w:b/>
          <w:bCs/>
          <w:sz w:val="28"/>
          <w:szCs w:val="24"/>
        </w:rPr>
        <w:t>Dea</w:t>
      </w: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dline-Driven Enrollment Behavio</w:t>
      </w:r>
      <w:r w:rsidRPr="000C0489">
        <w:rPr>
          <w:rFonts w:ascii="Times New Roman" w:eastAsia="Times New Roman" w:hAnsi="Times New Roman" w:cs="Times New Roman"/>
          <w:b/>
          <w:bCs/>
          <w:sz w:val="28"/>
          <w:szCs w:val="24"/>
        </w:rPr>
        <w:t>r (Performative Compliance</w:t>
      </w:r>
      <w:proofErr w:type="gramStart"/>
      <w:r w:rsidRPr="000C0489">
        <w:rPr>
          <w:rFonts w:ascii="Times New Roman" w:eastAsia="Times New Roman" w:hAnsi="Times New Roman" w:cs="Times New Roman"/>
          <w:b/>
          <w:bCs/>
          <w:sz w:val="28"/>
          <w:szCs w:val="24"/>
        </w:rPr>
        <w:t>)</w:t>
      </w:r>
      <w:proofErr w:type="gramEnd"/>
      <w:r w:rsidRPr="000C0489">
        <w:rPr>
          <w:rFonts w:ascii="Times New Roman" w:eastAsia="Times New Roman" w:hAnsi="Times New Roman" w:cs="Times New Roman"/>
          <w:sz w:val="28"/>
          <w:szCs w:val="24"/>
        </w:rPr>
        <w:br/>
        <w:t>A significant number of districts show enrollment spikes concentrated around month-end and quarter-end periods. This indicates compliance motivated by administrative targets rather than continuous service deli</w:t>
      </w:r>
      <w:r>
        <w:rPr>
          <w:rFonts w:ascii="Times New Roman" w:eastAsia="Times New Roman" w:hAnsi="Times New Roman" w:cs="Times New Roman"/>
          <w:sz w:val="28"/>
          <w:szCs w:val="24"/>
        </w:rPr>
        <w:t>very. Such performative behavio</w:t>
      </w:r>
      <w:r w:rsidRPr="000C0489">
        <w:rPr>
          <w:rFonts w:ascii="Times New Roman" w:eastAsia="Times New Roman" w:hAnsi="Times New Roman" w:cs="Times New Roman"/>
          <w:sz w:val="28"/>
          <w:szCs w:val="24"/>
        </w:rPr>
        <w:t xml:space="preserve">r risks data distortion, operational stress on enrollment </w:t>
      </w:r>
      <w:proofErr w:type="spellStart"/>
      <w:r w:rsidRPr="000C0489">
        <w:rPr>
          <w:rFonts w:ascii="Times New Roman" w:eastAsia="Times New Roman" w:hAnsi="Times New Roman" w:cs="Times New Roman"/>
          <w:sz w:val="28"/>
          <w:szCs w:val="24"/>
        </w:rPr>
        <w:t>centres</w:t>
      </w:r>
      <w:proofErr w:type="spellEnd"/>
      <w:r w:rsidRPr="000C0489">
        <w:rPr>
          <w:rFonts w:ascii="Times New Roman" w:eastAsia="Times New Roman" w:hAnsi="Times New Roman" w:cs="Times New Roman"/>
          <w:sz w:val="28"/>
          <w:szCs w:val="24"/>
        </w:rPr>
        <w:t>, and exclusion of populations unable to access services during rush periods.</w:t>
      </w:r>
    </w:p>
    <w:p w:rsidR="000C0489" w:rsidRPr="000C0489" w:rsidRDefault="000C0489" w:rsidP="000C048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C0489">
        <w:rPr>
          <w:rFonts w:ascii="Times New Roman" w:eastAsia="Times New Roman" w:hAnsi="Times New Roman" w:cs="Times New Roman"/>
          <w:b/>
          <w:bCs/>
          <w:sz w:val="28"/>
          <w:szCs w:val="24"/>
        </w:rPr>
        <w:t>Low Child Enrollment Relative to Adult Enrollment</w:t>
      </w:r>
      <w:r w:rsidRPr="000C0489">
        <w:rPr>
          <w:rFonts w:ascii="Times New Roman" w:eastAsia="Times New Roman" w:hAnsi="Times New Roman" w:cs="Times New Roman"/>
          <w:sz w:val="28"/>
          <w:szCs w:val="24"/>
        </w:rPr>
        <w:br/>
        <w:t xml:space="preserve">Several districts exhibit disproportionately low child (0–5 years) enrollment compared to adult enrollment. This suggests that </w:t>
      </w:r>
      <w:proofErr w:type="spellStart"/>
      <w:r w:rsidRPr="000C0489">
        <w:rPr>
          <w:rFonts w:ascii="Times New Roman" w:eastAsia="Times New Roman" w:hAnsi="Times New Roman" w:cs="Times New Roman"/>
          <w:sz w:val="28"/>
          <w:szCs w:val="24"/>
        </w:rPr>
        <w:t>Aadhaar</w:t>
      </w:r>
      <w:proofErr w:type="spellEnd"/>
      <w:r w:rsidRPr="000C0489">
        <w:rPr>
          <w:rFonts w:ascii="Times New Roman" w:eastAsia="Times New Roman" w:hAnsi="Times New Roman" w:cs="Times New Roman"/>
          <w:sz w:val="28"/>
          <w:szCs w:val="24"/>
        </w:rPr>
        <w:t xml:space="preserve"> is being issued reactively—often when required for services—rather than proactively at birth or early childhood, undermining </w:t>
      </w:r>
      <w:proofErr w:type="spellStart"/>
      <w:r w:rsidRPr="000C0489">
        <w:rPr>
          <w:rFonts w:ascii="Times New Roman" w:eastAsia="Times New Roman" w:hAnsi="Times New Roman" w:cs="Times New Roman"/>
          <w:sz w:val="28"/>
          <w:szCs w:val="24"/>
        </w:rPr>
        <w:t>Aadhaar’s</w:t>
      </w:r>
      <w:proofErr w:type="spellEnd"/>
      <w:r w:rsidRPr="000C0489">
        <w:rPr>
          <w:rFonts w:ascii="Times New Roman" w:eastAsia="Times New Roman" w:hAnsi="Times New Roman" w:cs="Times New Roman"/>
          <w:sz w:val="28"/>
          <w:szCs w:val="24"/>
        </w:rPr>
        <w:t xml:space="preserve"> role as a foundational identity system.</w:t>
      </w:r>
    </w:p>
    <w:p w:rsidR="000C0489" w:rsidRPr="000C0489" w:rsidRDefault="000C0489" w:rsidP="000C04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C0489">
        <w:rPr>
          <w:rFonts w:ascii="Times New Roman" w:eastAsia="Times New Roman" w:hAnsi="Times New Roman" w:cs="Times New Roman"/>
          <w:b/>
          <w:bCs/>
          <w:sz w:val="28"/>
          <w:szCs w:val="24"/>
        </w:rPr>
        <w:t>Uneven Geographic Coverage Within Districts</w:t>
      </w:r>
      <w:r>
        <w:rPr>
          <w:rFonts w:ascii="Times New Roman" w:eastAsia="Times New Roman" w:hAnsi="Times New Roman" w:cs="Times New Roman"/>
          <w:sz w:val="28"/>
          <w:szCs w:val="24"/>
        </w:rPr>
        <w:br/>
        <w:t xml:space="preserve">Low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p</w:t>
      </w:r>
      <w:r w:rsidRPr="000C0489">
        <w:rPr>
          <w:rFonts w:ascii="Times New Roman" w:eastAsia="Times New Roman" w:hAnsi="Times New Roman" w:cs="Times New Roman"/>
          <w:sz w:val="28"/>
          <w:szCs w:val="24"/>
        </w:rPr>
        <w:t>incode</w:t>
      </w:r>
      <w:proofErr w:type="spellEnd"/>
      <w:r w:rsidRPr="000C0489">
        <w:rPr>
          <w:rFonts w:ascii="Times New Roman" w:eastAsia="Times New Roman" w:hAnsi="Times New Roman" w:cs="Times New Roman"/>
          <w:sz w:val="28"/>
          <w:szCs w:val="24"/>
        </w:rPr>
        <w:t xml:space="preserve"> spread in multiple districts indicates that enrollment activity is concentrated in limited locations, leaving remote or rural areas under-served. This creates inequitable access and risks reinforcing regional exclusion.</w:t>
      </w:r>
    </w:p>
    <w:p w:rsidR="000C0489" w:rsidRPr="000C0489" w:rsidRDefault="000C0489" w:rsidP="000C04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C0489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High Inter-District Variability </w:t>
      </w:r>
      <w:proofErr w:type="gramStart"/>
      <w:r w:rsidRPr="000C0489">
        <w:rPr>
          <w:rFonts w:ascii="Times New Roman" w:eastAsia="Times New Roman" w:hAnsi="Times New Roman" w:cs="Times New Roman"/>
          <w:b/>
          <w:bCs/>
          <w:sz w:val="28"/>
          <w:szCs w:val="24"/>
        </w:rPr>
        <w:t>Within the Same State</w:t>
      </w:r>
      <w:r w:rsidRPr="000C0489">
        <w:rPr>
          <w:rFonts w:ascii="Times New Roman" w:eastAsia="Times New Roman" w:hAnsi="Times New Roman" w:cs="Times New Roman"/>
          <w:sz w:val="28"/>
          <w:szCs w:val="24"/>
        </w:rPr>
        <w:br/>
        <w:t>States</w:t>
      </w:r>
      <w:proofErr w:type="gramEnd"/>
      <w:r w:rsidRPr="000C0489">
        <w:rPr>
          <w:rFonts w:ascii="Times New Roman" w:eastAsia="Times New Roman" w:hAnsi="Times New Roman" w:cs="Times New Roman"/>
          <w:sz w:val="28"/>
          <w:szCs w:val="24"/>
        </w:rPr>
        <w:t xml:space="preserve"> with moderate average performance often contain both high-performing and critically low-performing districts. State-level aggregates therefore mask local governance failures, reducing the effectiveness of uniform policy responses.</w:t>
      </w:r>
    </w:p>
    <w:p w:rsidR="000C0489" w:rsidRPr="000C0489" w:rsidRDefault="000C0489" w:rsidP="000C04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489">
        <w:rPr>
          <w:rFonts w:ascii="Times New Roman" w:eastAsia="Times New Roman" w:hAnsi="Times New Roman" w:cs="Times New Roman"/>
          <w:b/>
          <w:bCs/>
          <w:sz w:val="28"/>
          <w:szCs w:val="24"/>
        </w:rPr>
        <w:t>Metric-Driven Governance Risk</w:t>
      </w:r>
      <w:r w:rsidRPr="000C0489">
        <w:rPr>
          <w:rFonts w:ascii="Times New Roman" w:eastAsia="Times New Roman" w:hAnsi="Times New Roman" w:cs="Times New Roman"/>
          <w:sz w:val="28"/>
          <w:szCs w:val="24"/>
        </w:rPr>
        <w:br/>
        <w:t>Over-reliance on aggregate enrollment counts without behavioral diagnostics encourages target-chasing rather than sustainable enrollment ecosystems.</w:t>
      </w:r>
    </w:p>
    <w:p w:rsidR="000C0489" w:rsidRPr="000C0489" w:rsidRDefault="000C0489" w:rsidP="000C0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48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C0489" w:rsidRPr="000C0489" w:rsidRDefault="000C0489" w:rsidP="000C0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4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Policy Implications</w:t>
      </w:r>
    </w:p>
    <w:p w:rsidR="000C0489" w:rsidRPr="000C0489" w:rsidRDefault="000C0489" w:rsidP="000C04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C0489">
        <w:rPr>
          <w:rFonts w:ascii="Times New Roman" w:eastAsia="Times New Roman" w:hAnsi="Times New Roman" w:cs="Times New Roman"/>
          <w:b/>
          <w:bCs/>
          <w:sz w:val="28"/>
          <w:szCs w:val="24"/>
        </w:rPr>
        <w:t>Shift from Target-Based to Health-Based Monitoring</w:t>
      </w:r>
      <w:r w:rsidRPr="000C0489">
        <w:rPr>
          <w:rFonts w:ascii="Times New Roman" w:eastAsia="Times New Roman" w:hAnsi="Times New Roman" w:cs="Times New Roman"/>
          <w:sz w:val="28"/>
          <w:szCs w:val="24"/>
        </w:rPr>
        <w:br/>
        <w:t xml:space="preserve">Adoption of composite indicators such as the </w:t>
      </w:r>
      <w:r w:rsidRPr="000C0489">
        <w:rPr>
          <w:rFonts w:ascii="Times New Roman" w:eastAsia="Times New Roman" w:hAnsi="Times New Roman" w:cs="Times New Roman"/>
          <w:b/>
          <w:bCs/>
          <w:sz w:val="28"/>
          <w:szCs w:val="24"/>
        </w:rPr>
        <w:t>Enrollment Health Index (EHI)</w:t>
      </w:r>
      <w:r w:rsidRPr="000C0489">
        <w:rPr>
          <w:rFonts w:ascii="Times New Roman" w:eastAsia="Times New Roman" w:hAnsi="Times New Roman" w:cs="Times New Roman"/>
          <w:sz w:val="28"/>
          <w:szCs w:val="24"/>
        </w:rPr>
        <w:t xml:space="preserve"> can help UIDAI and state authorities move beyond raw counts to assess balance, consistency, and reach of enrollment efforts.</w:t>
      </w:r>
    </w:p>
    <w:p w:rsidR="000C0489" w:rsidRPr="000C0489" w:rsidRDefault="000C0489" w:rsidP="000C04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C0489">
        <w:rPr>
          <w:rFonts w:ascii="Times New Roman" w:eastAsia="Times New Roman" w:hAnsi="Times New Roman" w:cs="Times New Roman"/>
          <w:b/>
          <w:bCs/>
          <w:sz w:val="28"/>
          <w:szCs w:val="24"/>
        </w:rPr>
        <w:t>Early-Life Enrollment as a Policy Priority</w:t>
      </w:r>
      <w:r w:rsidRPr="000C0489">
        <w:rPr>
          <w:rFonts w:ascii="Times New Roman" w:eastAsia="Times New Roman" w:hAnsi="Times New Roman" w:cs="Times New Roman"/>
          <w:sz w:val="28"/>
          <w:szCs w:val="24"/>
        </w:rPr>
        <w:br/>
        <w:t xml:space="preserve">Districts with persistently low child enrollment require targeted </w:t>
      </w:r>
      <w:r w:rsidRPr="000C0489">
        <w:rPr>
          <w:rFonts w:ascii="Times New Roman" w:eastAsia="Times New Roman" w:hAnsi="Times New Roman" w:cs="Times New Roman"/>
          <w:sz w:val="28"/>
          <w:szCs w:val="24"/>
        </w:rPr>
        <w:lastRenderedPageBreak/>
        <w:t xml:space="preserve">interventions—such as hospital-linked enrollment, birth-registration integration, and outreach through </w:t>
      </w:r>
      <w:proofErr w:type="spellStart"/>
      <w:r w:rsidRPr="000C0489">
        <w:rPr>
          <w:rFonts w:ascii="Times New Roman" w:eastAsia="Times New Roman" w:hAnsi="Times New Roman" w:cs="Times New Roman"/>
          <w:sz w:val="28"/>
          <w:szCs w:val="24"/>
        </w:rPr>
        <w:t>anganwadis</w:t>
      </w:r>
      <w:proofErr w:type="spellEnd"/>
      <w:r w:rsidRPr="000C0489">
        <w:rPr>
          <w:rFonts w:ascii="Times New Roman" w:eastAsia="Times New Roman" w:hAnsi="Times New Roman" w:cs="Times New Roman"/>
          <w:sz w:val="28"/>
          <w:szCs w:val="24"/>
        </w:rPr>
        <w:t>—rather than generalized enrollment drives.</w:t>
      </w:r>
    </w:p>
    <w:p w:rsidR="000C0489" w:rsidRPr="000C0489" w:rsidRDefault="000C0489" w:rsidP="000C04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C0489">
        <w:rPr>
          <w:rFonts w:ascii="Times New Roman" w:eastAsia="Times New Roman" w:hAnsi="Times New Roman" w:cs="Times New Roman"/>
          <w:b/>
          <w:bCs/>
          <w:sz w:val="28"/>
          <w:szCs w:val="24"/>
        </w:rPr>
        <w:t>Redesign of Incentive Structures</w:t>
      </w:r>
      <w:r w:rsidRPr="000C0489">
        <w:rPr>
          <w:rFonts w:ascii="Times New Roman" w:eastAsia="Times New Roman" w:hAnsi="Times New Roman" w:cs="Times New Roman"/>
          <w:sz w:val="28"/>
          <w:szCs w:val="24"/>
        </w:rPr>
        <w:br/>
        <w:t>Administrative incentives tied to end-period targets should be recalibrated to reward continuous enrollment activity and wider geographic coverage, reducing artificial rushes.</w:t>
      </w:r>
    </w:p>
    <w:p w:rsidR="000C0489" w:rsidRPr="000C0489" w:rsidRDefault="000C0489" w:rsidP="000C04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C0489">
        <w:rPr>
          <w:rFonts w:ascii="Times New Roman" w:eastAsia="Times New Roman" w:hAnsi="Times New Roman" w:cs="Times New Roman"/>
          <w:b/>
          <w:bCs/>
          <w:sz w:val="28"/>
          <w:szCs w:val="24"/>
        </w:rPr>
        <w:t>District-Level Diagnostics for Governance Action</w:t>
      </w:r>
      <w:r w:rsidRPr="000C0489">
        <w:rPr>
          <w:rFonts w:ascii="Times New Roman" w:eastAsia="Times New Roman" w:hAnsi="Times New Roman" w:cs="Times New Roman"/>
          <w:sz w:val="28"/>
          <w:szCs w:val="24"/>
        </w:rPr>
        <w:br/>
        <w:t xml:space="preserve">District-level dashboards derived from EHI and its components can enable state and central authorities to identify </w:t>
      </w:r>
      <w:r w:rsidRPr="000C0489">
        <w:rPr>
          <w:rFonts w:ascii="Times New Roman" w:eastAsia="Times New Roman" w:hAnsi="Times New Roman" w:cs="Times New Roman"/>
          <w:i/>
          <w:iCs/>
          <w:sz w:val="28"/>
          <w:szCs w:val="24"/>
        </w:rPr>
        <w:t>where</w:t>
      </w:r>
      <w:r w:rsidRPr="000C0489">
        <w:rPr>
          <w:rFonts w:ascii="Times New Roman" w:eastAsia="Times New Roman" w:hAnsi="Times New Roman" w:cs="Times New Roman"/>
          <w:sz w:val="28"/>
          <w:szCs w:val="24"/>
        </w:rPr>
        <w:t xml:space="preserve"> and </w:t>
      </w:r>
      <w:r w:rsidRPr="000C0489">
        <w:rPr>
          <w:rFonts w:ascii="Times New Roman" w:eastAsia="Times New Roman" w:hAnsi="Times New Roman" w:cs="Times New Roman"/>
          <w:i/>
          <w:iCs/>
          <w:sz w:val="28"/>
          <w:szCs w:val="24"/>
        </w:rPr>
        <w:t>why</w:t>
      </w:r>
      <w:r w:rsidRPr="000C0489">
        <w:rPr>
          <w:rFonts w:ascii="Times New Roman" w:eastAsia="Times New Roman" w:hAnsi="Times New Roman" w:cs="Times New Roman"/>
          <w:sz w:val="28"/>
          <w:szCs w:val="24"/>
        </w:rPr>
        <w:t xml:space="preserve"> enrollment systems are underperforming, enabling differentiated responses rather than blanket policies.</w:t>
      </w:r>
    </w:p>
    <w:p w:rsidR="000C0489" w:rsidRDefault="000C0489" w:rsidP="000C04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C0489">
        <w:rPr>
          <w:rFonts w:ascii="Times New Roman" w:eastAsia="Times New Roman" w:hAnsi="Times New Roman" w:cs="Times New Roman"/>
          <w:b/>
          <w:bCs/>
          <w:sz w:val="28"/>
          <w:szCs w:val="24"/>
        </w:rPr>
        <w:t>Use of Analytics as an Early-Warning Tool</w:t>
      </w:r>
      <w:r w:rsidRPr="000C0489">
        <w:rPr>
          <w:rFonts w:ascii="Times New Roman" w:eastAsia="Times New Roman" w:hAnsi="Times New Roman" w:cs="Times New Roman"/>
          <w:sz w:val="28"/>
          <w:szCs w:val="24"/>
        </w:rPr>
        <w:br/>
        <w:t>Behavioral patterns identified through enrollment data can serve as early indicators of administrative stress, access barriers, or systemic neglect before exclusion outcomes become visible.</w:t>
      </w:r>
    </w:p>
    <w:p w:rsidR="0092108A" w:rsidRPr="000C0489" w:rsidRDefault="0092108A" w:rsidP="0092108A">
      <w:pPr>
        <w:pStyle w:val="ListParagraph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2108A">
        <w:rPr>
          <w:rFonts w:ascii="Times New Roman" w:eastAsia="Times New Roman" w:hAnsi="Times New Roman" w:cs="Times New Roman"/>
          <w:iCs/>
          <w:sz w:val="28"/>
          <w:szCs w:val="24"/>
        </w:rPr>
        <w:t>This analysis demonstrates how administrative data, when examined behaviorally rather than descriptively, can surface governance risks that are invisible in traditional reporting frameworks.</w:t>
      </w:r>
    </w:p>
    <w:p w:rsidR="000C0489" w:rsidRPr="000C0489" w:rsidRDefault="000C0489" w:rsidP="000C0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48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C0489" w:rsidRPr="000C0489" w:rsidRDefault="000C0489" w:rsidP="000C0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4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Limitations &amp; What Could Not Be Included</w:t>
      </w:r>
    </w:p>
    <w:p w:rsidR="000C0489" w:rsidRPr="000C0489" w:rsidRDefault="000C0489" w:rsidP="000C04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C0489">
        <w:rPr>
          <w:rFonts w:ascii="Times New Roman" w:eastAsia="Times New Roman" w:hAnsi="Times New Roman" w:cs="Times New Roman"/>
          <w:b/>
          <w:bCs/>
          <w:sz w:val="28"/>
          <w:szCs w:val="24"/>
        </w:rPr>
        <w:t>No Direct Socio-Economic or Infrastructure Linkages</w:t>
      </w:r>
      <w:r w:rsidRPr="000C0489">
        <w:rPr>
          <w:rFonts w:ascii="Times New Roman" w:eastAsia="Times New Roman" w:hAnsi="Times New Roman" w:cs="Times New Roman"/>
          <w:sz w:val="28"/>
          <w:szCs w:val="24"/>
        </w:rPr>
        <w:br/>
        <w:t>Factors such as population density, healthcare access, migration patterns, or enrollment center capacity were not available, restricting causal inference behind observed patterns.</w:t>
      </w:r>
    </w:p>
    <w:p w:rsidR="000C0489" w:rsidRPr="000C0489" w:rsidRDefault="000C0489" w:rsidP="000C04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C0489">
        <w:rPr>
          <w:rFonts w:ascii="Times New Roman" w:eastAsia="Times New Roman" w:hAnsi="Times New Roman" w:cs="Times New Roman"/>
          <w:b/>
          <w:bCs/>
          <w:sz w:val="28"/>
          <w:szCs w:val="24"/>
        </w:rPr>
        <w:t>Temporal Constraints</w:t>
      </w:r>
      <w:r>
        <w:rPr>
          <w:rFonts w:ascii="Times New Roman" w:eastAsia="Times New Roman" w:hAnsi="Times New Roman" w:cs="Times New Roman"/>
          <w:sz w:val="28"/>
          <w:szCs w:val="24"/>
        </w:rPr>
        <w:br/>
      </w:r>
      <w:proofErr w:type="gramStart"/>
      <w:r>
        <w:rPr>
          <w:rFonts w:ascii="Times New Roman" w:eastAsia="Times New Roman" w:hAnsi="Times New Roman" w:cs="Times New Roman"/>
          <w:sz w:val="28"/>
          <w:szCs w:val="24"/>
        </w:rPr>
        <w:t>While</w:t>
      </w:r>
      <w:proofErr w:type="gramEnd"/>
      <w:r>
        <w:rPr>
          <w:rFonts w:ascii="Times New Roman" w:eastAsia="Times New Roman" w:hAnsi="Times New Roman" w:cs="Times New Roman"/>
          <w:sz w:val="28"/>
          <w:szCs w:val="24"/>
        </w:rPr>
        <w:t xml:space="preserve"> deadline-related behavio</w:t>
      </w:r>
      <w:r w:rsidRPr="000C0489">
        <w:rPr>
          <w:rFonts w:ascii="Times New Roman" w:eastAsia="Times New Roman" w:hAnsi="Times New Roman" w:cs="Times New Roman"/>
          <w:sz w:val="28"/>
          <w:szCs w:val="24"/>
        </w:rPr>
        <w:t>r was identified, long-term seasonal or multi-year trend analysis was limited by the available timeframe.</w:t>
      </w:r>
    </w:p>
    <w:p w:rsidR="000C0489" w:rsidRPr="000C0489" w:rsidRDefault="000C0489" w:rsidP="000C04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C0489">
        <w:rPr>
          <w:rFonts w:ascii="Times New Roman" w:eastAsia="Times New Roman" w:hAnsi="Times New Roman" w:cs="Times New Roman"/>
          <w:b/>
          <w:bCs/>
          <w:sz w:val="28"/>
          <w:szCs w:val="24"/>
        </w:rPr>
        <w:t>Potential Reporting and Logging Bias</w:t>
      </w:r>
      <w:r w:rsidRPr="000C0489">
        <w:rPr>
          <w:rFonts w:ascii="Times New Roman" w:eastAsia="Times New Roman" w:hAnsi="Times New Roman" w:cs="Times New Roman"/>
          <w:sz w:val="28"/>
          <w:szCs w:val="24"/>
        </w:rPr>
        <w:br/>
        <w:t>Enrollment data reflects recorded activity and may not fully capture operational disruptions, manual batching, or delayed uploads at the ground level.</w:t>
      </w:r>
    </w:p>
    <w:p w:rsidR="000C0489" w:rsidRPr="000C0489" w:rsidRDefault="000C0489" w:rsidP="000C04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C0489">
        <w:rPr>
          <w:rFonts w:ascii="Times New Roman" w:eastAsia="Times New Roman" w:hAnsi="Times New Roman" w:cs="Times New Roman"/>
          <w:b/>
          <w:bCs/>
          <w:sz w:val="28"/>
          <w:szCs w:val="24"/>
        </w:rPr>
        <w:t>No Beneficiary-Side Outcome Measurement</w:t>
      </w:r>
      <w:r w:rsidRPr="000C0489">
        <w:rPr>
          <w:rFonts w:ascii="Times New Roman" w:eastAsia="Times New Roman" w:hAnsi="Times New Roman" w:cs="Times New Roman"/>
          <w:sz w:val="28"/>
          <w:szCs w:val="24"/>
        </w:rPr>
        <w:br/>
        <w:t>The analysis evaluates system behavior, not downstream impacts such as service access, grievance rates, or beneficiary satisfaction.</w:t>
      </w:r>
    </w:p>
    <w:p w:rsidR="000C0489" w:rsidRPr="000C0489" w:rsidRDefault="000C0489" w:rsidP="000C0489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bookmarkStart w:id="0" w:name="_GoBack"/>
      <w:r w:rsidRPr="000C0489">
        <w:rPr>
          <w:rFonts w:ascii="Times New Roman" w:eastAsia="Times New Roman" w:hAnsi="Times New Roman" w:cs="Times New Roman"/>
          <w:sz w:val="28"/>
          <w:szCs w:val="24"/>
        </w:rPr>
        <w:lastRenderedPageBreak/>
        <w:pict>
          <v:rect id="_x0000_i1041" style="width:0;height:1.5pt" o:hralign="center" o:hrstd="t" o:hr="t" fillcolor="#a0a0a0" stroked="f"/>
        </w:pict>
      </w:r>
      <w:bookmarkEnd w:id="0"/>
    </w:p>
    <w:p w:rsidR="000C0489" w:rsidRDefault="000C0489" w:rsidP="000C04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8"/>
          <w:szCs w:val="24"/>
        </w:rPr>
      </w:pPr>
    </w:p>
    <w:p w:rsidR="000C0489" w:rsidRDefault="000C0489" w:rsidP="000C0489">
      <w:pPr>
        <w:pStyle w:val="Heading2"/>
      </w:pPr>
      <w:r>
        <w:t>Future Scope (Analytical Extensions)</w:t>
      </w:r>
    </w:p>
    <w:p w:rsidR="000C0489" w:rsidRPr="000C0489" w:rsidRDefault="000C0489" w:rsidP="000C0489">
      <w:pPr>
        <w:pStyle w:val="NormalWeb"/>
        <w:numPr>
          <w:ilvl w:val="0"/>
          <w:numId w:val="4"/>
        </w:numPr>
        <w:rPr>
          <w:sz w:val="28"/>
        </w:rPr>
      </w:pPr>
      <w:r w:rsidRPr="000C0489">
        <w:rPr>
          <w:rStyle w:val="Strong"/>
          <w:sz w:val="28"/>
        </w:rPr>
        <w:t>Integration of Update Datasets for Lifecycle Analysis</w:t>
      </w:r>
      <w:r w:rsidRPr="000C0489">
        <w:rPr>
          <w:sz w:val="28"/>
        </w:rPr>
        <w:br/>
      </w:r>
      <w:proofErr w:type="gramStart"/>
      <w:r w:rsidRPr="000C0489">
        <w:rPr>
          <w:sz w:val="28"/>
        </w:rPr>
        <w:t>Incorporating</w:t>
      </w:r>
      <w:proofErr w:type="gramEnd"/>
      <w:r w:rsidRPr="000C0489">
        <w:rPr>
          <w:sz w:val="28"/>
        </w:rPr>
        <w:t xml:space="preserve"> demographic and biometric update datasets would allow assessment of </w:t>
      </w:r>
      <w:proofErr w:type="spellStart"/>
      <w:r w:rsidRPr="000C0489">
        <w:rPr>
          <w:sz w:val="28"/>
        </w:rPr>
        <w:t>Aadhaar’s</w:t>
      </w:r>
      <w:proofErr w:type="spellEnd"/>
      <w:r w:rsidRPr="000C0489">
        <w:rPr>
          <w:sz w:val="28"/>
        </w:rPr>
        <w:t xml:space="preserve"> full lifecycle health—examining not only initial enrollment but also data accuracy, update frequency, and long-term usability across age cohorts.</w:t>
      </w:r>
    </w:p>
    <w:p w:rsidR="000C0489" w:rsidRPr="000C0489" w:rsidRDefault="000C0489" w:rsidP="000C0489">
      <w:pPr>
        <w:pStyle w:val="NormalWeb"/>
        <w:numPr>
          <w:ilvl w:val="0"/>
          <w:numId w:val="4"/>
        </w:numPr>
        <w:rPr>
          <w:sz w:val="28"/>
        </w:rPr>
      </w:pPr>
      <w:r w:rsidRPr="000C0489">
        <w:rPr>
          <w:rStyle w:val="Strong"/>
          <w:sz w:val="28"/>
        </w:rPr>
        <w:t>Longitudinal Trend Monitoring</w:t>
      </w:r>
      <w:r w:rsidRPr="000C0489">
        <w:rPr>
          <w:sz w:val="28"/>
        </w:rPr>
        <w:br/>
        <w:t>Extending the analysis across multiple years would help distinguish structural enrollment issues from temporary or seasonal administrative effects, improving policy response calibration.</w:t>
      </w:r>
    </w:p>
    <w:p w:rsidR="000C0489" w:rsidRPr="000C0489" w:rsidRDefault="000C0489" w:rsidP="000C0489">
      <w:pPr>
        <w:pStyle w:val="NormalWeb"/>
        <w:numPr>
          <w:ilvl w:val="0"/>
          <w:numId w:val="4"/>
        </w:numPr>
        <w:rPr>
          <w:sz w:val="28"/>
        </w:rPr>
      </w:pPr>
      <w:r w:rsidRPr="000C0489">
        <w:rPr>
          <w:rStyle w:val="Strong"/>
          <w:sz w:val="28"/>
        </w:rPr>
        <w:t>Linkage with Service Delivery Indicators</w:t>
      </w:r>
      <w:r w:rsidRPr="000C0489">
        <w:rPr>
          <w:sz w:val="28"/>
        </w:rPr>
        <w:br/>
      </w:r>
      <w:proofErr w:type="gramStart"/>
      <w:r w:rsidRPr="000C0489">
        <w:rPr>
          <w:sz w:val="28"/>
        </w:rPr>
        <w:t>Combining</w:t>
      </w:r>
      <w:proofErr w:type="gramEnd"/>
      <w:r w:rsidRPr="000C0489">
        <w:rPr>
          <w:sz w:val="28"/>
        </w:rPr>
        <w:t xml:space="preserve"> enrollment health metrics with downstream service usage data (e.g., welfare scheme access) could help evaluate whether enrollment quality translates into real-world inclusion outcomes.</w:t>
      </w:r>
    </w:p>
    <w:p w:rsidR="000C0489" w:rsidRPr="000C0489" w:rsidRDefault="000C0489" w:rsidP="000C0489">
      <w:pPr>
        <w:pStyle w:val="NormalWeb"/>
        <w:numPr>
          <w:ilvl w:val="0"/>
          <w:numId w:val="4"/>
        </w:numPr>
        <w:rPr>
          <w:sz w:val="28"/>
        </w:rPr>
      </w:pPr>
      <w:r w:rsidRPr="000C0489">
        <w:rPr>
          <w:rStyle w:val="Strong"/>
          <w:sz w:val="28"/>
        </w:rPr>
        <w:t>Operational Capacity Diagnostics</w:t>
      </w:r>
      <w:r w:rsidRPr="000C0489">
        <w:rPr>
          <w:sz w:val="28"/>
        </w:rPr>
        <w:br/>
        <w:t>Supplementing enrollment data with enrollment center capacity, staffing levels, and infrastructure availability could enable more precise identification of whether low performance stems from awareness gaps or access constraints.</w:t>
      </w:r>
    </w:p>
    <w:p w:rsidR="000C0489" w:rsidRPr="000C0489" w:rsidRDefault="000C0489" w:rsidP="000C0489">
      <w:pPr>
        <w:pStyle w:val="NormalWeb"/>
        <w:numPr>
          <w:ilvl w:val="0"/>
          <w:numId w:val="4"/>
        </w:numPr>
        <w:rPr>
          <w:sz w:val="28"/>
        </w:rPr>
      </w:pPr>
      <w:r w:rsidRPr="000C0489">
        <w:rPr>
          <w:rStyle w:val="Strong"/>
          <w:sz w:val="28"/>
        </w:rPr>
        <w:t>Automated Early-Warning Dashboards</w:t>
      </w:r>
      <w:r w:rsidRPr="000C0489">
        <w:rPr>
          <w:sz w:val="28"/>
        </w:rPr>
        <w:br/>
        <w:t>The Enrollment Health Index framework could be operationalized into a real-time monitoring dashboard to flag emerging deadline-driven behavior or geographic inequities before they become systemic.</w:t>
      </w:r>
    </w:p>
    <w:p w:rsidR="000C0489" w:rsidRDefault="000C0489" w:rsidP="000C04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8"/>
          <w:szCs w:val="24"/>
        </w:rPr>
      </w:pPr>
    </w:p>
    <w:p w:rsidR="007A38A2" w:rsidRDefault="0092108A"/>
    <w:sectPr w:rsidR="007A38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A94BEB"/>
    <w:multiLevelType w:val="multilevel"/>
    <w:tmpl w:val="82D6A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320279"/>
    <w:multiLevelType w:val="multilevel"/>
    <w:tmpl w:val="392E1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FA4CFE"/>
    <w:multiLevelType w:val="multilevel"/>
    <w:tmpl w:val="D1542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D8408E"/>
    <w:multiLevelType w:val="multilevel"/>
    <w:tmpl w:val="B400FA28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489"/>
    <w:rsid w:val="000C0489"/>
    <w:rsid w:val="006A5DA4"/>
    <w:rsid w:val="0092108A"/>
    <w:rsid w:val="00981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A3FC9"/>
  <w15:chartTrackingRefBased/>
  <w15:docId w15:val="{39C431CD-8121-4D7D-95AF-9120D5417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C04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04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04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048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C0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0489"/>
    <w:rPr>
      <w:b/>
      <w:bCs/>
    </w:rPr>
  </w:style>
  <w:style w:type="character" w:styleId="Emphasis">
    <w:name w:val="Emphasis"/>
    <w:basedOn w:val="DefaultParagraphFont"/>
    <w:uiPriority w:val="20"/>
    <w:qFormat/>
    <w:rsid w:val="000C0489"/>
    <w:rPr>
      <w:i/>
      <w:iCs/>
    </w:rPr>
  </w:style>
  <w:style w:type="paragraph" w:styleId="ListParagraph">
    <w:name w:val="List Paragraph"/>
    <w:basedOn w:val="Normal"/>
    <w:uiPriority w:val="34"/>
    <w:qFormat/>
    <w:rsid w:val="009210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2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4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9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763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JKD</dc:creator>
  <cp:keywords/>
  <dc:description/>
  <cp:lastModifiedBy>JKD</cp:lastModifiedBy>
  <cp:revision>1</cp:revision>
  <dcterms:created xsi:type="dcterms:W3CDTF">2026-01-21T20:58:00Z</dcterms:created>
  <dcterms:modified xsi:type="dcterms:W3CDTF">2026-01-21T21:10:00Z</dcterms:modified>
</cp:coreProperties>
</file>