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сколько единиц контента нужен контент-план?</w:t>
        <w:br w:type="textWrapping"/>
        <w:t xml:space="preserve">1) 20 постов.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Какая частота публикаций контента?</w:t>
        <w:br w:type="textWrapping"/>
        <w:t xml:space="preserve">2) 5 постов в неделю.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форматы контента использовать?</w:t>
        <w:br w:type="textWrapping"/>
        <w:t xml:space="preserve">3) Посты, сторис, видео (рекомендации и туториалы), интерактивы (опросы и викторины).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Описание бизнеса:</w:t>
        <w:br w:type="textWrapping"/>
        <w:t xml:space="preserve">4) Онлайн-школа "HealthyLife", предлагающая курсы по питанию, фитнесу и управлению стрессом. Основной продукт — программы по улучшению качества жизни через здоровые привычки.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Описание продуктов бизнеса: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21-дневный курс "Привычки здоровья" (видеоуроки, чат с куратором).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Индивидуальные консультации по питанию.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Готовые планы тренировок с видеоинструкциями.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Целевая аудитория:</w:t>
        <w:br w:type="textWrapping"/>
        <w:t xml:space="preserve">6) Возраст 25–45 лет, мужчины и женщины, которые хотят улучшить свое физическое и эмоциональное состояние. Проживают в крупных городах, ценят качественную информацию и персонализированный подход.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Боли, потребности, триггеры целевой аудитории: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Боли: нехватка времени на спорт и питание, стресс, проблемы с энергией.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Потребности: готовые решения, которые легко интегрировать в жизнь.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Триггеры: доступ к экспертам, простота выполнения, гарантированные результаты.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контент-плана:</w:t>
        <w:br w:type="textWrapping"/>
        <w:t xml:space="preserve">7) Прогрев к запуску нового 21-дневного курса "Привычки здоровья".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Рекомендации:</w:t>
        <w:br w:type="textWrapping"/>
        <w:t xml:space="preserve">8) Добавить реальные отзывы клиентов, использовать призывы к действию, включить элементы лайфстайла и демонстрацию результатов.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