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2F81F7"/>
          <w:sz w:val="18"/>
          <w:szCs w:val="18"/>
        </w:rPr>
        <w:t xml:space="preserve">IEEE RESPONSE QUEST™ CHALLENGE · 2026</w:t>
      </w:r>
    </w:p>
    <w:p>
      <w:pPr>
        <w:spacing w:after="60"/>
      </w:pPr>
      <w:r>
        <w:rPr>
          <w:b/>
          <w:bCs/>
          <w:color w:val="1A2230"/>
          <w:sz w:val="60"/>
          <w:szCs w:val="60"/>
        </w:rPr>
        <w:t xml:space="preserve">ResQView</w:t>
      </w:r>
    </w:p>
    <w:p>
      <w:pPr>
        <w:spacing w:after="140"/>
      </w:pPr>
      <w:r>
        <w:rPr>
          <w:i/>
          <w:iCs/>
          <w:color w:val="5B6675"/>
          <w:sz w:val="26"/>
          <w:szCs w:val="26"/>
        </w:rPr>
        <w:t xml:space="preserve">A live common operating picture for disaster response — turning the flood of crisis data into one ranked, mapped view responders can read in five seconds.</w:t>
      </w:r>
    </w:p>
    <w:p>
      <w:pPr>
        <w:pBdr>
          <w:bottom w:val="single" w:color="D5DBE3" w:sz="6" w:space="6"/>
        </w:pBdr>
        <w:spacing w:after="60"/>
      </w:pPr>
      <w:r>
        <w:rPr>
          <w:b/>
          <w:bCs/>
          <w:sz w:val="20"/>
          <w:szCs w:val="20"/>
        </w:rPr>
        <w:t xml:space="preserve">Category: </w:t>
      </w:r>
      <w:r>
        <w:rPr>
          <w:color w:val="5B6675"/>
          <w:sz w:val="20"/>
          <w:szCs w:val="20"/>
        </w:rPr>
        <w:t xml:space="preserve">Emergency Intelligence     </w:t>
      </w:r>
      <w:r>
        <w:rPr>
          <w:b/>
          <w:bCs/>
          <w:sz w:val="20"/>
          <w:szCs w:val="20"/>
        </w:rPr>
        <w:t xml:space="preserve">Disciplines: </w:t>
      </w:r>
      <w:r>
        <w:rPr>
          <w:color w:val="5B6675"/>
          <w:sz w:val="20"/>
          <w:szCs w:val="20"/>
        </w:rPr>
        <w:t xml:space="preserve">Data Science · GIS · NLP · Emergency Management     </w:t>
      </w:r>
      <w:r>
        <w:rPr>
          <w:b/>
          <w:bCs/>
          <w:sz w:val="20"/>
          <w:szCs w:val="20"/>
        </w:rPr>
        <w:t xml:space="preserve">Status: </w:t>
      </w:r>
      <w:r>
        <w:rPr>
          <w:color w:val="5B6675"/>
          <w:sz w:val="20"/>
          <w:szCs w:val="20"/>
        </w:rPr>
        <w:t xml:space="preserve">Concept + working prototype</w:t>
      </w:r>
    </w:p>
    <w:p>
      <w:pPr>
        <w:spacing w:after="80" w:before="240"/>
      </w:pPr>
      <w:r>
        <w:rPr>
          <w:b/>
          <w:bCs/>
          <w:color w:val="1A2230"/>
          <w:sz w:val="22"/>
          <w:szCs w:val="22"/>
        </w:rPr>
        <w:t xml:space="preserve">Contents</w:t>
      </w:r>
    </w:p>
    <w:sdt>
      <w:sdtPr>
        <w:alias w:val="Contents"/>
      </w:sdtPr>
      <w:sdtContent>
        <w:p>
          <w:r>
            <w:fldChar w:fldCharType="begin" w:dirty="true"/>
            <w:instrText xml:space="preserve">TOC \h \o "2-2"</w:instrText>
            <w:fldChar w:fldCharType="separate"/>
          </w:r>
        </w:p>
        <w:p>
          <w:r>
            <w:fldChar w:fldCharType="end"/>
          </w:r>
        </w:p>
      </w:sdtContent>
    </w:sdt>
    <w:p>
      <w:r>
        <w:br w:type="page"/>
      </w:r>
    </w:p>
    <w:p>
      <w:pPr>
        <w:pStyle w:val="Heading2"/>
      </w:pPr>
      <w:r>
        <w:t xml:space="preserve">1. Executive summary</w:t>
      </w:r>
    </w:p>
    <w:p>
      <w:pPr>
        <w:spacing w:after="120"/>
      </w:pPr>
      <w:r>
        <w:rPr>
          <w:b w:val="false"/>
          <w:bCs w:val="false"/>
          <w:i w:val="false"/>
          <w:iCs w:val="false"/>
          <w:color w:val="1A2230"/>
          <w:sz w:val="22"/>
          <w:szCs w:val="22"/>
        </w:rPr>
        <w:t xml:space="preserve">In a disaster, the bottleneck is not a lack of information — it is too much of it, scattered across too many channels. ResQView ingests every incoming channel (112 emergency calls, social media, SMS, sensors), uses language processing to extract what is happening, where, and how urgent it is, then merges duplicate reports into single verified incidents and ranks them by severity on a live map.</w:t>
      </w:r>
    </w:p>
    <w:p>
      <w:pPr>
        <w:spacing w:after="120"/>
      </w:pPr>
      <w:r>
        <w:rPr>
          <w:b w:val="false"/>
          <w:bCs w:val="false"/>
          <w:i w:val="false"/>
          <w:iCs w:val="false"/>
          <w:color w:val="1A2230"/>
          <w:sz w:val="22"/>
          <w:szCs w:val="22"/>
        </w:rPr>
        <w:t xml:space="preserve">The result is one screen that lets dispatchers and field commanders act with greater speed, clarity, and confidence. A working prototype already runs end-to-end on a simulated flood scenario at zero cost, with a clear path to scale on funding.</w:t>
      </w:r>
    </w:p>
    <w:p>
      <w:pPr>
        <w:pStyle w:val="Heading2"/>
      </w:pPr>
      <w:r>
        <w:t xml:space="preserve">2. The problem</w:t>
      </w:r>
    </w:p>
    <w:p>
      <w:pPr>
        <w:spacing w:after="120"/>
      </w:pPr>
      <w:r>
        <w:rPr>
          <w:b w:val="false"/>
          <w:bCs w:val="false"/>
          <w:i w:val="false"/>
          <w:iCs w:val="false"/>
          <w:color w:val="1A2230"/>
          <w:sz w:val="22"/>
          <w:szCs w:val="22"/>
        </w:rPr>
        <w:t xml:space="preserve">A single major flood can generate thousands of reports in the first hour. Today, responders monitor these channels separately and must manually read, locate, de-duplicate, and prioritise them while lives are on the line. Critical reports get buried, the same incident is reported dozens of times, and decisions are made on a partial picture.</w:t>
      </w:r>
    </w:p>
    <w:p>
      <w:pPr>
        <w:pStyle w:val="ListParagraph"/>
        <w:numPr>
          <w:ilvl w:val="0"/>
          <w:numId w:val="2"/>
        </w:numPr>
        <w:spacing w:after="60"/>
      </w:pPr>
      <w:r>
        <w:rPr>
          <w:color w:val="1A2230"/>
          <w:sz w:val="22"/>
          <w:szCs w:val="22"/>
        </w:rPr>
        <w:t xml:space="preserve">Thousands of reports per hour during a major event.</w:t>
      </w:r>
    </w:p>
    <w:p>
      <w:pPr>
        <w:pStyle w:val="ListParagraph"/>
        <w:numPr>
          <w:ilvl w:val="0"/>
          <w:numId w:val="2"/>
        </w:numPr>
        <w:spacing w:after="60"/>
      </w:pPr>
      <w:r>
        <w:rPr>
          <w:color w:val="1A2230"/>
          <w:sz w:val="22"/>
          <w:szCs w:val="22"/>
        </w:rPr>
        <w:t xml:space="preserve">A large share are duplicates of incidents already known.</w:t>
      </w:r>
    </w:p>
    <w:p>
      <w:pPr>
        <w:pStyle w:val="ListParagraph"/>
        <w:numPr>
          <w:ilvl w:val="0"/>
          <w:numId w:val="2"/>
        </w:numPr>
        <w:spacing w:after="60"/>
      </w:pPr>
      <w:r>
        <w:rPr>
          <w:color w:val="1A2230"/>
          <w:sz w:val="22"/>
          <w:szCs w:val="22"/>
        </w:rPr>
        <w:t xml:space="preserve">Five or more channels are watched separately, with no unified ranked view.</w:t>
      </w:r>
    </w:p>
    <w:p>
      <w:pPr>
        <w:pStyle w:val="Heading2"/>
      </w:pPr>
      <w:r>
        <w:t xml:space="preserve">3. The solution — ResQView</w:t>
      </w:r>
    </w:p>
    <w:p>
      <w:pPr>
        <w:spacing w:after="120"/>
      </w:pPr>
      <w:r>
        <w:rPr>
          <w:b w:val="false"/>
          <w:bCs w:val="false"/>
          <w:i w:val="false"/>
          <w:iCs w:val="false"/>
          <w:color w:val="1A2230"/>
          <w:sz w:val="22"/>
          <w:szCs w:val="22"/>
        </w:rPr>
        <w:t xml:space="preserve">One screen. Every incident. Worst-first. ResQView fuses all channels into a single ranked, mapped operating picture. The mock-up below shows the responder's view during an active event — it reflects the real output of the working prototype, which collapsed 25 raw reports into 12 verified, ranked incidents.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4050"/>
        <w:gridCol w:w="2660"/>
        <w:gridCol w:w="1600"/>
      </w:tblGrid>
      <w:tr>
        <w:tc>
          <w:tcPr>
            <w:tcW w:type="dxa" w:w="9360"/>
            <w:gridSpan w:val="4"/>
            <w:tcBorders>
              <w:top w:val="single" w:color="0B0F14" w:sz="2"/>
              <w:left w:val="single" w:color="0B0F14" w:sz="2"/>
              <w:bottom w:val="single" w:color="0B0F14" w:sz="2"/>
              <w:right w:val="single" w:color="0B0F14" w:sz="2"/>
            </w:tcBorders>
            <w:shd w:fill="0B0F14" w:val="clear"/>
            <w:tcMar>
              <w:top w:type="dxa" w:w="90"/>
              <w:left w:type="dxa" w:w="140"/>
              <w:bottom w:type="dxa" w:w="90"/>
              <w:right w:type="dxa" w:w="140"/>
            </w:tcMar>
          </w:tcPr>
          <w:p>
            <w:r>
              <w:rPr>
                <w:b/>
                <w:bCs/>
                <w:color w:val="FFFFFF"/>
                <w:sz w:val="20"/>
                <w:szCs w:val="20"/>
              </w:rPr>
              <w:t xml:space="preserve">ResQView</w:t>
            </w:r>
            <w:r>
              <w:rPr>
                <w:color w:val="9AA7B4"/>
                <w:sz w:val="18"/>
                <w:szCs w:val="18"/>
              </w:rPr>
              <w:t xml:space="preserve">   Mumbai Monsoon Flood · Control Room</w:t>
            </w:r>
            <w:r>
              <w:rPr>
                <w:color w:val="3FB950"/>
                <w:sz w:val="18"/>
                <w:szCs w:val="18"/>
              </w:rPr>
              <w:t xml:space="preserve">          ● LIVE · 25 reports → 12 incidents</w:t>
            </w:r>
          </w:p>
        </w:tc>
      </w:tr>
      <w:tr>
        <w:trPr>
          <w:tblHeader/>
        </w:trPr>
        <w:tc>
          <w:tcPr>
            <w:tcW w:type="dxa" w:w="1050"/>
            <w:tcBorders>
              <w:top w:val="single" w:color="D5DBE3" w:sz="2"/>
              <w:left w:val="single" w:color="D5DBE3" w:sz="2"/>
              <w:bottom w:val="single" w:color="D5DBE3" w:sz="2"/>
              <w:right w:val="single" w:color="D5DBE3" w:sz="2"/>
            </w:tcBorders>
            <w:shd w:fill="161B22" w:val="clear"/>
            <w:tcMar>
              <w:top w:type="dxa" w:w="70"/>
              <w:left w:type="dxa" w:w="130"/>
              <w:bottom w:type="dxa" w:w="70"/>
              <w:right w:type="dxa" w:w="130"/>
            </w:tcMar>
            <w:vAlign w:val="center"/>
          </w:tcPr>
          <w:p>
            <w:r>
              <w:rPr>
                <w:b/>
                <w:bCs/>
                <w:i w:val="false"/>
                <w:iCs w:val="false"/>
                <w:color w:val="FFFFFF"/>
                <w:sz w:val="16"/>
                <w:szCs w:val="16"/>
              </w:rPr>
              <w:t xml:space="preserve">SEV</w:t>
            </w:r>
          </w:p>
        </w:tc>
        <w:tc>
          <w:tcPr>
            <w:tcW w:type="dxa" w:w="4050"/>
            <w:tcBorders>
              <w:top w:val="single" w:color="D5DBE3" w:sz="2"/>
              <w:left w:val="single" w:color="D5DBE3" w:sz="2"/>
              <w:bottom w:val="single" w:color="D5DBE3" w:sz="2"/>
              <w:right w:val="single" w:color="D5DBE3" w:sz="2"/>
            </w:tcBorders>
            <w:shd w:fill="161B22" w:val="clear"/>
            <w:tcMar>
              <w:top w:type="dxa" w:w="70"/>
              <w:left w:type="dxa" w:w="130"/>
              <w:bottom w:type="dxa" w:w="70"/>
              <w:right w:type="dxa" w:w="130"/>
            </w:tcMar>
            <w:vAlign w:val="center"/>
          </w:tcPr>
          <w:p>
            <w:r>
              <w:rPr>
                <w:b/>
                <w:bCs/>
                <w:i w:val="false"/>
                <w:iCs w:val="false"/>
                <w:color w:val="FFFFFF"/>
                <w:sz w:val="16"/>
                <w:szCs w:val="16"/>
              </w:rPr>
              <w:t xml:space="preserve">INCIDENT (merged from raw reports)</w:t>
            </w:r>
          </w:p>
        </w:tc>
        <w:tc>
          <w:tcPr>
            <w:tcW w:type="dxa" w:w="2660"/>
            <w:tcBorders>
              <w:top w:val="single" w:color="D5DBE3" w:sz="2"/>
              <w:left w:val="single" w:color="D5DBE3" w:sz="2"/>
              <w:bottom w:val="single" w:color="D5DBE3" w:sz="2"/>
              <w:right w:val="single" w:color="D5DBE3" w:sz="2"/>
            </w:tcBorders>
            <w:shd w:fill="161B22" w:val="clear"/>
            <w:tcMar>
              <w:top w:type="dxa" w:w="70"/>
              <w:left w:type="dxa" w:w="130"/>
              <w:bottom w:type="dxa" w:w="70"/>
              <w:right w:type="dxa" w:w="130"/>
            </w:tcMar>
            <w:vAlign w:val="center"/>
          </w:tcPr>
          <w:p>
            <w:r>
              <w:rPr>
                <w:b/>
                <w:bCs/>
                <w:i w:val="false"/>
                <w:iCs w:val="false"/>
                <w:color w:val="FFFFFF"/>
                <w:sz w:val="16"/>
                <w:szCs w:val="16"/>
              </w:rPr>
              <w:t xml:space="preserve">LOCATION / DETAIL</w:t>
            </w:r>
          </w:p>
        </w:tc>
        <w:tc>
          <w:tcPr>
            <w:tcW w:type="dxa" w:w="1600"/>
            <w:tcBorders>
              <w:top w:val="single" w:color="D5DBE3" w:sz="2"/>
              <w:left w:val="single" w:color="D5DBE3" w:sz="2"/>
              <w:bottom w:val="single" w:color="D5DBE3" w:sz="2"/>
              <w:right w:val="single" w:color="D5DBE3" w:sz="2"/>
            </w:tcBorders>
            <w:shd w:fill="161B22" w:val="clear"/>
            <w:tcMar>
              <w:top w:type="dxa" w:w="70"/>
              <w:left w:type="dxa" w:w="130"/>
              <w:bottom w:type="dxa" w:w="70"/>
              <w:right w:type="dxa" w:w="130"/>
            </w:tcMar>
            <w:vAlign w:val="center"/>
          </w:tcPr>
          <w:p>
            <w:r>
              <w:rPr>
                <w:b/>
                <w:bCs/>
                <w:i w:val="false"/>
                <w:iCs w:val="false"/>
                <w:color w:val="FFFFFF"/>
                <w:sz w:val="16"/>
                <w:szCs w:val="16"/>
              </w:rPr>
              <w:t xml:space="preserve">SOURCES</w:t>
            </w:r>
          </w:p>
        </w:tc>
      </w:tr>
      <w:tr>
        <w:tc>
          <w:tcPr>
            <w:tcW w:type="dxa" w:w="1050"/>
            <w:tcBorders>
              <w:top w:val="single" w:color="D5DBE3" w:sz="2"/>
              <w:left w:val="single" w:color="D5DBE3" w:sz="2"/>
              <w:bottom w:val="single" w:color="D5DBE3" w:sz="2"/>
              <w:right w:val="single" w:color="D5DBE3" w:sz="2"/>
            </w:tcBorders>
            <w:shd w:fill="D11F1A" w:val="clear"/>
            <w:tcMar>
              <w:top w:type="dxa" w:w="70"/>
              <w:left w:type="dxa" w:w="130"/>
              <w:bottom w:type="dxa" w:w="70"/>
              <w:right w:type="dxa" w:w="130"/>
            </w:tcMar>
            <w:vAlign w:val="center"/>
          </w:tcPr>
          <w:p>
            <w:r>
              <w:rPr>
                <w:b/>
                <w:bCs/>
                <w:i w:val="false"/>
                <w:iCs w:val="false"/>
                <w:color w:val="FFFFFF"/>
                <w:sz w:val="14"/>
                <w:szCs w:val="14"/>
              </w:rPr>
              <w:t xml:space="preserve">CRITICAL</w:t>
            </w:r>
          </w:p>
        </w:tc>
        <w:tc>
          <w:tcPr>
            <w:tcW w:type="dxa" w:w="405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bCs/>
                <w:i w:val="false"/>
                <w:iCs w:val="false"/>
                <w:color w:val="1A2230"/>
                <w:sz w:val="18"/>
                <w:szCs w:val="18"/>
              </w:rPr>
              <w:t xml:space="preserve">4 trapped on roof, water rising</w:t>
            </w:r>
          </w:p>
        </w:tc>
        <w:tc>
          <w:tcPr>
            <w:tcW w:type="dxa" w:w="266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7"/>
                <w:szCs w:val="17"/>
              </w:rPr>
              <w:t xml:space="preserve">Hindmata, Dadar · 1 child · water at windows</w:t>
            </w:r>
          </w:p>
        </w:tc>
        <w:tc>
          <w:tcPr>
            <w:tcW w:type="dxa" w:w="160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6"/>
                <w:szCs w:val="16"/>
              </w:rPr>
              <w:t xml:space="preserve">4 · 112 + SMS + Twitter</w:t>
            </w:r>
          </w:p>
        </w:tc>
      </w:tr>
      <w:tr>
        <w:tc>
          <w:tcPr>
            <w:tcW w:type="dxa" w:w="1050"/>
            <w:tcBorders>
              <w:top w:val="single" w:color="D5DBE3" w:sz="2"/>
              <w:left w:val="single" w:color="D5DBE3" w:sz="2"/>
              <w:bottom w:val="single" w:color="D5DBE3" w:sz="2"/>
              <w:right w:val="single" w:color="D5DBE3" w:sz="2"/>
            </w:tcBorders>
            <w:shd w:fill="D11F1A" w:val="clear"/>
            <w:tcMar>
              <w:top w:type="dxa" w:w="70"/>
              <w:left w:type="dxa" w:w="130"/>
              <w:bottom w:type="dxa" w:w="70"/>
              <w:right w:type="dxa" w:w="130"/>
            </w:tcMar>
            <w:vAlign w:val="center"/>
          </w:tcPr>
          <w:p>
            <w:r>
              <w:rPr>
                <w:b/>
                <w:bCs/>
                <w:i w:val="false"/>
                <w:iCs w:val="false"/>
                <w:color w:val="FFFFFF"/>
                <w:sz w:val="14"/>
                <w:szCs w:val="14"/>
              </w:rPr>
              <w:t xml:space="preserve">CRITICAL</w:t>
            </w:r>
          </w:p>
        </w:tc>
        <w:tc>
          <w:tcPr>
            <w:tcW w:type="dxa" w:w="405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bCs/>
                <w:i w:val="false"/>
                <w:iCs w:val="false"/>
                <w:color w:val="1A2230"/>
                <w:sz w:val="18"/>
                <w:szCs w:val="18"/>
              </w:rPr>
              <w:t xml:space="preserve">Godown fire, possible workers inside</w:t>
            </w:r>
          </w:p>
        </w:tc>
        <w:tc>
          <w:tcPr>
            <w:tcW w:type="dxa" w:w="266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7"/>
                <w:szCs w:val="17"/>
              </w:rPr>
              <w:t xml:space="preserve">Kurla · spreading · units en route</w:t>
            </w:r>
          </w:p>
        </w:tc>
        <w:tc>
          <w:tcPr>
            <w:tcW w:type="dxa" w:w="160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6"/>
                <w:szCs w:val="16"/>
              </w:rPr>
              <w:t xml:space="preserve">4 · 112 + Twitter</w:t>
            </w:r>
          </w:p>
        </w:tc>
      </w:tr>
      <w:tr>
        <w:tc>
          <w:tcPr>
            <w:tcW w:type="dxa" w:w="1050"/>
            <w:tcBorders>
              <w:top w:val="single" w:color="D5DBE3" w:sz="2"/>
              <w:left w:val="single" w:color="D5DBE3" w:sz="2"/>
              <w:bottom w:val="single" w:color="D5DBE3" w:sz="2"/>
              <w:right w:val="single" w:color="D5DBE3" w:sz="2"/>
            </w:tcBorders>
            <w:shd w:fill="D11F1A" w:val="clear"/>
            <w:tcMar>
              <w:top w:type="dxa" w:w="70"/>
              <w:left w:type="dxa" w:w="130"/>
              <w:bottom w:type="dxa" w:w="70"/>
              <w:right w:type="dxa" w:w="130"/>
            </w:tcMar>
            <w:vAlign w:val="center"/>
          </w:tcPr>
          <w:p>
            <w:r>
              <w:rPr>
                <w:b/>
                <w:bCs/>
                <w:i w:val="false"/>
                <w:iCs w:val="false"/>
                <w:color w:val="FFFFFF"/>
                <w:sz w:val="14"/>
                <w:szCs w:val="14"/>
              </w:rPr>
              <w:t xml:space="preserve">CRITICAL</w:t>
            </w:r>
          </w:p>
        </w:tc>
        <w:tc>
          <w:tcPr>
            <w:tcW w:type="dxa" w:w="405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bCs/>
                <w:i w:val="false"/>
                <w:iCs w:val="false"/>
                <w:color w:val="1A2230"/>
                <w:sz w:val="18"/>
                <w:szCs w:val="18"/>
              </w:rPr>
              <w:t xml:space="preserve">Family stranded, rising water</w:t>
            </w:r>
          </w:p>
        </w:tc>
        <w:tc>
          <w:tcPr>
            <w:tcW w:type="dxa" w:w="266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7"/>
                <w:szCs w:val="17"/>
              </w:rPr>
              <w:t xml:space="preserve">Sion · 5 people incl. infant · 2nd floor</w:t>
            </w:r>
          </w:p>
        </w:tc>
        <w:tc>
          <w:tcPr>
            <w:tcW w:type="dxa" w:w="160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6"/>
                <w:szCs w:val="16"/>
              </w:rPr>
              <w:t xml:space="preserve">3 · 112 + SMS</w:t>
            </w:r>
          </w:p>
        </w:tc>
      </w:tr>
      <w:tr>
        <w:tc>
          <w:tcPr>
            <w:tcW w:type="dxa" w:w="1050"/>
            <w:tcBorders>
              <w:top w:val="single" w:color="D5DBE3" w:sz="2"/>
              <w:left w:val="single" w:color="D5DBE3" w:sz="2"/>
              <w:bottom w:val="single" w:color="D5DBE3" w:sz="2"/>
              <w:right w:val="single" w:color="D5DBE3" w:sz="2"/>
            </w:tcBorders>
            <w:shd w:fill="D11F1A" w:val="clear"/>
            <w:tcMar>
              <w:top w:type="dxa" w:w="70"/>
              <w:left w:type="dxa" w:w="130"/>
              <w:bottom w:type="dxa" w:w="70"/>
              <w:right w:type="dxa" w:w="130"/>
            </w:tcMar>
            <w:vAlign w:val="center"/>
          </w:tcPr>
          <w:p>
            <w:r>
              <w:rPr>
                <w:b/>
                <w:bCs/>
                <w:i w:val="false"/>
                <w:iCs w:val="false"/>
                <w:color w:val="FFFFFF"/>
                <w:sz w:val="14"/>
                <w:szCs w:val="14"/>
              </w:rPr>
              <w:t xml:space="preserve">CRITICAL</w:t>
            </w:r>
          </w:p>
        </w:tc>
        <w:tc>
          <w:tcPr>
            <w:tcW w:type="dxa" w:w="405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bCs/>
                <w:i w:val="false"/>
                <w:iCs w:val="false"/>
                <w:color w:val="1A2230"/>
                <w:sz w:val="18"/>
                <w:szCs w:val="18"/>
              </w:rPr>
              <w:t xml:space="preserve">Mithi River overtopping risk</w:t>
            </w:r>
          </w:p>
        </w:tc>
        <w:tc>
          <w:tcPr>
            <w:tcW w:type="dxa" w:w="266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7"/>
                <w:szCs w:val="17"/>
              </w:rPr>
              <w:t xml:space="preserve">Sensor M17 · 4.4 m · pumps engaged</w:t>
            </w:r>
          </w:p>
        </w:tc>
        <w:tc>
          <w:tcPr>
            <w:tcW w:type="dxa" w:w="160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6"/>
                <w:szCs w:val="16"/>
              </w:rPr>
              <w:t xml:space="preserve">3 · IoT sensor</w:t>
            </w:r>
          </w:p>
        </w:tc>
      </w:tr>
      <w:tr>
        <w:tc>
          <w:tcPr>
            <w:tcW w:type="dxa" w:w="1050"/>
            <w:tcBorders>
              <w:top w:val="single" w:color="D5DBE3" w:sz="2"/>
              <w:left w:val="single" w:color="D5DBE3" w:sz="2"/>
              <w:bottom w:val="single" w:color="D5DBE3" w:sz="2"/>
              <w:right w:val="single" w:color="D5DBE3" w:sz="2"/>
            </w:tcBorders>
            <w:shd w:fill="D11F1A" w:val="clear"/>
            <w:tcMar>
              <w:top w:type="dxa" w:w="70"/>
              <w:left w:type="dxa" w:w="130"/>
              <w:bottom w:type="dxa" w:w="70"/>
              <w:right w:type="dxa" w:w="130"/>
            </w:tcMar>
            <w:vAlign w:val="center"/>
          </w:tcPr>
          <w:p>
            <w:r>
              <w:rPr>
                <w:b/>
                <w:bCs/>
                <w:i w:val="false"/>
                <w:iCs w:val="false"/>
                <w:color w:val="FFFFFF"/>
                <w:sz w:val="14"/>
                <w:szCs w:val="14"/>
              </w:rPr>
              <w:t xml:space="preserve">CRITICAL</w:t>
            </w:r>
          </w:p>
        </w:tc>
        <w:tc>
          <w:tcPr>
            <w:tcW w:type="dxa" w:w="405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bCs/>
                <w:i w:val="false"/>
                <w:iCs w:val="false"/>
                <w:color w:val="1A2230"/>
                <w:sz w:val="18"/>
                <w:szCs w:val="18"/>
              </w:rPr>
              <w:t xml:space="preserve">Suspected gas leak, lane evacuating</w:t>
            </w:r>
          </w:p>
        </w:tc>
        <w:tc>
          <w:tcPr>
            <w:tcW w:type="dxa" w:w="266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7"/>
                <w:szCs w:val="17"/>
              </w:rPr>
              <w:t xml:space="preserve">Chembur · ruptured pipeline reported</w:t>
            </w:r>
          </w:p>
        </w:tc>
        <w:tc>
          <w:tcPr>
            <w:tcW w:type="dxa" w:w="160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6"/>
                <w:szCs w:val="16"/>
              </w:rPr>
              <w:t xml:space="preserve">2 · 112 + Twitter</w:t>
            </w:r>
          </w:p>
        </w:tc>
      </w:tr>
      <w:tr>
        <w:tc>
          <w:tcPr>
            <w:tcW w:type="dxa" w:w="1050"/>
            <w:tcBorders>
              <w:top w:val="single" w:color="D5DBE3" w:sz="2"/>
              <w:left w:val="single" w:color="D5DBE3" w:sz="2"/>
              <w:bottom w:val="single" w:color="D5DBE3" w:sz="2"/>
              <w:right w:val="single" w:color="D5DBE3" w:sz="2"/>
            </w:tcBorders>
            <w:shd w:fill="D11F1A" w:val="clear"/>
            <w:tcMar>
              <w:top w:type="dxa" w:w="70"/>
              <w:left w:type="dxa" w:w="130"/>
              <w:bottom w:type="dxa" w:w="70"/>
              <w:right w:type="dxa" w:w="130"/>
            </w:tcMar>
            <w:vAlign w:val="center"/>
          </w:tcPr>
          <w:p>
            <w:r>
              <w:rPr>
                <w:b/>
                <w:bCs/>
                <w:i w:val="false"/>
                <w:iCs w:val="false"/>
                <w:color w:val="FFFFFF"/>
                <w:sz w:val="14"/>
                <w:szCs w:val="14"/>
              </w:rPr>
              <w:t xml:space="preserve">CRITICAL</w:t>
            </w:r>
          </w:p>
        </w:tc>
        <w:tc>
          <w:tcPr>
            <w:tcW w:type="dxa" w:w="405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bCs/>
                <w:i w:val="false"/>
                <w:iCs w:val="false"/>
                <w:color w:val="1A2230"/>
                <w:sz w:val="18"/>
                <w:szCs w:val="18"/>
              </w:rPr>
              <w:t xml:space="preserve">Diabetic patient, shelter out of insulin</w:t>
            </w:r>
          </w:p>
        </w:tc>
        <w:tc>
          <w:tcPr>
            <w:tcW w:type="dxa" w:w="266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7"/>
                <w:szCs w:val="17"/>
              </w:rPr>
              <w:t xml:space="preserve">Matunga shelter · no power · worsening</w:t>
            </w:r>
          </w:p>
        </w:tc>
        <w:tc>
          <w:tcPr>
            <w:tcW w:type="dxa" w:w="160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6"/>
                <w:szCs w:val="16"/>
              </w:rPr>
              <w:t xml:space="preserve">2 · SMS</w:t>
            </w:r>
          </w:p>
        </w:tc>
      </w:tr>
      <w:tr>
        <w:tc>
          <w:tcPr>
            <w:tcW w:type="dxa" w:w="1050"/>
            <w:tcBorders>
              <w:top w:val="single" w:color="D5DBE3" w:sz="2"/>
              <w:left w:val="single" w:color="D5DBE3" w:sz="2"/>
              <w:bottom w:val="single" w:color="D5DBE3" w:sz="2"/>
              <w:right w:val="single" w:color="D5DBE3" w:sz="2"/>
            </w:tcBorders>
            <w:shd w:fill="C26000" w:val="clear"/>
            <w:tcMar>
              <w:top w:type="dxa" w:w="70"/>
              <w:left w:type="dxa" w:w="130"/>
              <w:bottom w:type="dxa" w:w="70"/>
              <w:right w:type="dxa" w:w="130"/>
            </w:tcMar>
            <w:vAlign w:val="center"/>
          </w:tcPr>
          <w:p>
            <w:r>
              <w:rPr>
                <w:b/>
                <w:bCs/>
                <w:i w:val="false"/>
                <w:iCs w:val="false"/>
                <w:color w:val="FFFFFF"/>
                <w:sz w:val="14"/>
                <w:szCs w:val="14"/>
              </w:rPr>
              <w:t xml:space="preserve">HIGH</w:t>
            </w:r>
          </w:p>
        </w:tc>
        <w:tc>
          <w:tcPr>
            <w:tcW w:type="dxa" w:w="405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bCs/>
                <w:i w:val="false"/>
                <w:iCs w:val="false"/>
                <w:color w:val="1A2230"/>
                <w:sz w:val="18"/>
                <w:szCs w:val="18"/>
              </w:rPr>
              <w:t xml:space="preserve">Collapsed wall, pedestrian leg pinned</w:t>
            </w:r>
          </w:p>
        </w:tc>
        <w:tc>
          <w:tcPr>
            <w:tcW w:type="dxa" w:w="266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7"/>
                <w:szCs w:val="17"/>
              </w:rPr>
              <w:t xml:space="preserve">BKC edge · conscious</w:t>
            </w:r>
          </w:p>
        </w:tc>
        <w:tc>
          <w:tcPr>
            <w:tcW w:type="dxa" w:w="160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6"/>
                <w:szCs w:val="16"/>
              </w:rPr>
              <w:t xml:space="preserve">1 · 112</w:t>
            </w:r>
          </w:p>
        </w:tc>
      </w:tr>
      <w:tr>
        <w:tc>
          <w:tcPr>
            <w:tcW w:type="dxa" w:w="1050"/>
            <w:tcBorders>
              <w:top w:val="single" w:color="D5DBE3" w:sz="2"/>
              <w:left w:val="single" w:color="D5DBE3" w:sz="2"/>
              <w:bottom w:val="single" w:color="D5DBE3" w:sz="2"/>
              <w:right w:val="single" w:color="D5DBE3" w:sz="2"/>
            </w:tcBorders>
            <w:shd w:fill="C26000" w:val="clear"/>
            <w:tcMar>
              <w:top w:type="dxa" w:w="70"/>
              <w:left w:type="dxa" w:w="130"/>
              <w:bottom w:type="dxa" w:w="70"/>
              <w:right w:type="dxa" w:w="130"/>
            </w:tcMar>
            <w:vAlign w:val="center"/>
          </w:tcPr>
          <w:p>
            <w:r>
              <w:rPr>
                <w:b/>
                <w:bCs/>
                <w:i w:val="false"/>
                <w:iCs w:val="false"/>
                <w:color w:val="FFFFFF"/>
                <w:sz w:val="14"/>
                <w:szCs w:val="14"/>
              </w:rPr>
              <w:t xml:space="preserve">HIGH</w:t>
            </w:r>
          </w:p>
        </w:tc>
        <w:tc>
          <w:tcPr>
            <w:tcW w:type="dxa" w:w="405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bCs/>
                <w:i w:val="false"/>
                <w:iCs w:val="false"/>
                <w:color w:val="1A2230"/>
                <w:sz w:val="18"/>
                <w:szCs w:val="18"/>
              </w:rPr>
              <w:t xml:space="preserve">Heart attack, ambulance needed</w:t>
            </w:r>
          </w:p>
        </w:tc>
        <w:tc>
          <w:tcPr>
            <w:tcW w:type="dxa" w:w="266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7"/>
                <w:szCs w:val="17"/>
              </w:rPr>
              <w:t xml:space="preserve">Bandra · elderly male collapsed</w:t>
            </w:r>
          </w:p>
        </w:tc>
        <w:tc>
          <w:tcPr>
            <w:tcW w:type="dxa" w:w="160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6"/>
                <w:szCs w:val="16"/>
              </w:rPr>
              <w:t xml:space="preserve">1 · 112</w:t>
            </w:r>
          </w:p>
        </w:tc>
      </w:tr>
      <w:tr>
        <w:tc>
          <w:tcPr>
            <w:tcW w:type="dxa" w:w="1050"/>
            <w:tcBorders>
              <w:top w:val="single" w:color="D5DBE3" w:sz="2"/>
              <w:left w:val="single" w:color="D5DBE3" w:sz="2"/>
              <w:bottom w:val="single" w:color="D5DBE3" w:sz="2"/>
              <w:right w:val="single" w:color="D5DBE3" w:sz="2"/>
            </w:tcBorders>
            <w:shd w:fill="C26000" w:val="clear"/>
            <w:tcMar>
              <w:top w:type="dxa" w:w="70"/>
              <w:left w:type="dxa" w:w="130"/>
              <w:bottom w:type="dxa" w:w="70"/>
              <w:right w:type="dxa" w:w="130"/>
            </w:tcMar>
            <w:vAlign w:val="center"/>
          </w:tcPr>
          <w:p>
            <w:r>
              <w:rPr>
                <w:b/>
                <w:bCs/>
                <w:i w:val="false"/>
                <w:iCs w:val="false"/>
                <w:color w:val="FFFFFF"/>
                <w:sz w:val="14"/>
                <w:szCs w:val="14"/>
              </w:rPr>
              <w:t xml:space="preserve">HIGH</w:t>
            </w:r>
          </w:p>
        </w:tc>
        <w:tc>
          <w:tcPr>
            <w:tcW w:type="dxa" w:w="405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bCs/>
                <w:i w:val="false"/>
                <w:iCs w:val="false"/>
                <w:color w:val="1A2230"/>
                <w:sz w:val="18"/>
                <w:szCs w:val="18"/>
              </w:rPr>
              <w:t xml:space="preserve">Subway flooded, ambulance cannot pass</w:t>
            </w:r>
          </w:p>
        </w:tc>
        <w:tc>
          <w:tcPr>
            <w:tcW w:type="dxa" w:w="266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7"/>
                <w:szCs w:val="17"/>
              </w:rPr>
              <w:t xml:space="preserve">Andheri · access to hospital cut</w:t>
            </w:r>
          </w:p>
        </w:tc>
        <w:tc>
          <w:tcPr>
            <w:tcW w:type="dxa" w:w="160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6"/>
                <w:szCs w:val="16"/>
              </w:rPr>
              <w:t xml:space="preserve">1 · Twitter</w:t>
            </w:r>
          </w:p>
        </w:tc>
      </w:tr>
      <w:tr>
        <w:tc>
          <w:tcPr>
            <w:tcW w:type="dxa" w:w="1050"/>
            <w:tcBorders>
              <w:top w:val="single" w:color="D5DBE3" w:sz="2"/>
              <w:left w:val="single" w:color="D5DBE3" w:sz="2"/>
              <w:bottom w:val="single" w:color="D5DBE3" w:sz="2"/>
              <w:right w:val="single" w:color="D5DBE3" w:sz="2"/>
            </w:tcBorders>
            <w:shd w:fill="9A7B00" w:val="clear"/>
            <w:tcMar>
              <w:top w:type="dxa" w:w="70"/>
              <w:left w:type="dxa" w:w="130"/>
              <w:bottom w:type="dxa" w:w="70"/>
              <w:right w:type="dxa" w:w="130"/>
            </w:tcMar>
            <w:vAlign w:val="center"/>
          </w:tcPr>
          <w:p>
            <w:r>
              <w:rPr>
                <w:b/>
                <w:bCs/>
                <w:i w:val="false"/>
                <w:iCs w:val="false"/>
                <w:color w:val="FFFFFF"/>
                <w:sz w:val="14"/>
                <w:szCs w:val="14"/>
              </w:rPr>
              <w:t xml:space="preserve">MEDIUM</w:t>
            </w:r>
          </w:p>
        </w:tc>
        <w:tc>
          <w:tcPr>
            <w:tcW w:type="dxa" w:w="405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bCs/>
                <w:i w:val="false"/>
                <w:iCs w:val="false"/>
                <w:color w:val="1A2230"/>
                <w:sz w:val="18"/>
                <w:szCs w:val="18"/>
              </w:rPr>
              <w:t xml:space="preserve">Shelter low on water and food</w:t>
            </w:r>
          </w:p>
        </w:tc>
        <w:tc>
          <w:tcPr>
            <w:tcW w:type="dxa" w:w="266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7"/>
                <w:szCs w:val="17"/>
              </w:rPr>
              <w:t xml:space="preserve">Matunga · many children present</w:t>
            </w:r>
          </w:p>
        </w:tc>
        <w:tc>
          <w:tcPr>
            <w:tcW w:type="dxa" w:w="160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6"/>
                <w:szCs w:val="16"/>
              </w:rPr>
              <w:t xml:space="preserve">2 · Twitter</w:t>
            </w:r>
          </w:p>
        </w:tc>
      </w:tr>
      <w:tr>
        <w:tc>
          <w:tcPr>
            <w:tcW w:type="dxa" w:w="1050"/>
            <w:tcBorders>
              <w:top w:val="single" w:color="D5DBE3" w:sz="2"/>
              <w:left w:val="single" w:color="D5DBE3" w:sz="2"/>
              <w:bottom w:val="single" w:color="D5DBE3" w:sz="2"/>
              <w:right w:val="single" w:color="D5DBE3" w:sz="2"/>
            </w:tcBorders>
            <w:shd w:fill="9A7B00" w:val="clear"/>
            <w:tcMar>
              <w:top w:type="dxa" w:w="70"/>
              <w:left w:type="dxa" w:w="130"/>
              <w:bottom w:type="dxa" w:w="70"/>
              <w:right w:type="dxa" w:w="130"/>
            </w:tcMar>
            <w:vAlign w:val="center"/>
          </w:tcPr>
          <w:p>
            <w:r>
              <w:rPr>
                <w:b/>
                <w:bCs/>
                <w:i w:val="false"/>
                <w:iCs w:val="false"/>
                <w:color w:val="FFFFFF"/>
                <w:sz w:val="14"/>
                <w:szCs w:val="14"/>
              </w:rPr>
              <w:t xml:space="preserve">MEDIUM</w:t>
            </w:r>
          </w:p>
        </w:tc>
        <w:tc>
          <w:tcPr>
            <w:tcW w:type="dxa" w:w="405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bCs/>
                <w:i w:val="false"/>
                <w:iCs w:val="false"/>
                <w:color w:val="1A2230"/>
                <w:sz w:val="18"/>
                <w:szCs w:val="18"/>
              </w:rPr>
              <w:t xml:space="preserve">Subway flooded, road blocked</w:t>
            </w:r>
          </w:p>
        </w:tc>
        <w:tc>
          <w:tcPr>
            <w:tcW w:type="dxa" w:w="266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7"/>
                <w:szCs w:val="17"/>
              </w:rPr>
              <w:t xml:space="preserve">Andheri · vehicles submerged</w:t>
            </w:r>
          </w:p>
        </w:tc>
        <w:tc>
          <w:tcPr>
            <w:tcW w:type="dxa" w:w="160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6"/>
                <w:szCs w:val="16"/>
              </w:rPr>
              <w:t xml:space="preserve">1 · Twitter</w:t>
            </w:r>
          </w:p>
        </w:tc>
      </w:tr>
      <w:tr>
        <w:tc>
          <w:tcPr>
            <w:tcW w:type="dxa" w:w="1050"/>
            <w:tcBorders>
              <w:top w:val="single" w:color="D5DBE3" w:sz="2"/>
              <w:left w:val="single" w:color="D5DBE3" w:sz="2"/>
              <w:bottom w:val="single" w:color="D5DBE3" w:sz="2"/>
              <w:right w:val="single" w:color="D5DBE3" w:sz="2"/>
            </w:tcBorders>
            <w:shd w:fill="2563B0" w:val="clear"/>
            <w:tcMar>
              <w:top w:type="dxa" w:w="70"/>
              <w:left w:type="dxa" w:w="130"/>
              <w:bottom w:type="dxa" w:w="70"/>
              <w:right w:type="dxa" w:w="130"/>
            </w:tcMar>
            <w:vAlign w:val="center"/>
          </w:tcPr>
          <w:p>
            <w:r>
              <w:rPr>
                <w:b/>
                <w:bCs/>
                <w:i w:val="false"/>
                <w:iCs w:val="false"/>
                <w:color w:val="FFFFFF"/>
                <w:sz w:val="14"/>
                <w:szCs w:val="14"/>
              </w:rPr>
              <w:t xml:space="preserve">INFO</w:t>
            </w:r>
          </w:p>
        </w:tc>
        <w:tc>
          <w:tcPr>
            <w:tcW w:type="dxa" w:w="405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bCs/>
                <w:i w:val="false"/>
                <w:iCs w:val="false"/>
                <w:color w:val="1A2230"/>
                <w:sz w:val="18"/>
                <w:szCs w:val="18"/>
              </w:rPr>
              <w:t xml:space="preserve">Power outage, ~12,000 households</w:t>
            </w:r>
          </w:p>
        </w:tc>
        <w:tc>
          <w:tcPr>
            <w:tcW w:type="dxa" w:w="266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7"/>
                <w:szCs w:val="17"/>
              </w:rPr>
              <w:t xml:space="preserve">Chembur grid sector offline</w:t>
            </w:r>
          </w:p>
        </w:tc>
        <w:tc>
          <w:tcPr>
            <w:tcW w:type="dxa" w:w="1600"/>
            <w:tcBorders>
              <w:top w:val="single" w:color="D5DBE3" w:sz="2"/>
              <w:left w:val="single" w:color="D5DBE3" w:sz="2"/>
              <w:bottom w:val="single" w:color="D5DBE3" w:sz="2"/>
              <w:right w:val="single" w:color="D5DBE3" w:sz="2"/>
            </w:tcBorders>
            <w:tcMar>
              <w:top w:type="dxa" w:w="70"/>
              <w:left w:type="dxa" w:w="130"/>
              <w:bottom w:type="dxa" w:w="70"/>
              <w:right w:type="dxa" w:w="130"/>
            </w:tcMar>
            <w:vAlign w:val="center"/>
          </w:tcPr>
          <w:p>
            <w:r>
              <w:rPr>
                <w:b w:val="false"/>
                <w:bCs w:val="false"/>
                <w:i w:val="false"/>
                <w:iCs w:val="false"/>
                <w:color w:val="5B6675"/>
                <w:sz w:val="16"/>
                <w:szCs w:val="16"/>
              </w:rPr>
              <w:t xml:space="preserve">1 · IoT sensor</w:t>
            </w:r>
          </w:p>
        </w:tc>
      </w:tr>
    </w:tbl>
    <w:p>
      <w:pPr>
        <w:spacing w:after="120" w:before="100"/>
      </w:pPr>
      <w:r>
        <w:rPr>
          <w:i/>
          <w:iCs/>
          <w:color w:val="5B6675"/>
          <w:sz w:val="18"/>
          <w:szCs w:val="18"/>
        </w:rPr>
        <w:t xml:space="preserve">Each incident shows how many raw reports were merged into it and from which channels, so a human always verifies against the original sources before acting. Severity colour runs critical (red) → high (orange) → medium (yellow) → informational (blue).</w:t>
      </w:r>
    </w:p>
    <w:p>
      <w:pPr>
        <w:pStyle w:val="Heading2"/>
      </w:pPr>
      <w:r>
        <w:t xml:space="preserve">4. How it works</w:t>
      </w:r>
    </w:p>
    <w:p>
      <w:pPr>
        <w:spacing w:after="120"/>
      </w:pPr>
      <w:r>
        <w:rPr>
          <w:b w:val="false"/>
          <w:bCs w:val="false"/>
          <w:i w:val="false"/>
          <w:iCs w:val="false"/>
          <w:color w:val="1A2230"/>
          <w:sz w:val="22"/>
          <w:szCs w:val="22"/>
        </w:rPr>
        <w:t xml:space="preserve">A four-stage pipeline runs continuously in near real-time:</w:t>
      </w:r>
    </w:p>
    <w:p>
      <w:pPr>
        <w:pStyle w:val="ListParagraph"/>
        <w:numPr>
          <w:ilvl w:val="0"/>
          <w:numId w:val="2"/>
        </w:numPr>
        <w:spacing w:after="60"/>
      </w:pPr>
      <w:r>
        <w:rPr>
          <w:color w:val="1A2230"/>
          <w:sz w:val="22"/>
          <w:szCs w:val="22"/>
        </w:rPr>
        <w:t xml:space="preserve">Ingest — pull 112 emergency calls, social posts, SMS hotlines and IoT sensors into one stream as they arrive.</w:t>
      </w:r>
    </w:p>
    <w:p>
      <w:pPr>
        <w:pStyle w:val="ListParagraph"/>
        <w:numPr>
          <w:ilvl w:val="0"/>
          <w:numId w:val="2"/>
        </w:numPr>
        <w:spacing w:after="60"/>
      </w:pPr>
      <w:r>
        <w:rPr>
          <w:color w:val="1A2230"/>
          <w:sz w:val="22"/>
          <w:szCs w:val="22"/>
        </w:rPr>
        <w:t xml:space="preserve">Extract — read each message for location, need (rescue / fire / medical / hazard), and urgency, turning “stuck on roof, water rising” into structured, geocoded data.</w:t>
      </w:r>
    </w:p>
    <w:p>
      <w:pPr>
        <w:pStyle w:val="ListParagraph"/>
        <w:numPr>
          <w:ilvl w:val="0"/>
          <w:numId w:val="2"/>
        </w:numPr>
        <w:spacing w:after="60"/>
      </w:pPr>
      <w:r>
        <w:rPr>
          <w:color w:val="1A2230"/>
          <w:sz w:val="22"/>
          <w:szCs w:val="22"/>
        </w:rPr>
        <w:t xml:space="preserve">Cluster — merge reports about the same event (by location and meaning) into one verified incident, removing duplicate noise.</w:t>
      </w:r>
    </w:p>
    <w:p>
      <w:pPr>
        <w:pStyle w:val="ListParagraph"/>
        <w:numPr>
          <w:ilvl w:val="0"/>
          <w:numId w:val="2"/>
        </w:numPr>
        <w:spacing w:after="60"/>
      </w:pPr>
      <w:r>
        <w:rPr>
          <w:color w:val="1A2230"/>
          <w:sz w:val="22"/>
          <w:szCs w:val="22"/>
        </w:rPr>
        <w:t xml:space="preserve">Triage &amp; map — score each incident by severity and place it on the map, ranked worst-first, with all sources attached.</w:t>
      </w:r>
    </w:p>
    <w:p>
      <w:pPr>
        <w:spacing w:after="120"/>
      </w:pPr>
      <w:r>
        <w:rPr>
          <w:b w:val="false"/>
          <w:bCs w:val="false"/>
          <w:i w:val="false"/>
          <w:iCs w:val="false"/>
          <w:color w:val="1A2230"/>
          <w:sz w:val="22"/>
          <w:szCs w:val="22"/>
        </w:rPr>
        <w:t xml:space="preserve">Human-in-the-loop by design. ResQView is decision support, never autonomous dispatch. Every flag exposes its confidence and links back to raw sources, so commanders trust it and stay in control.</w:t>
      </w:r>
    </w:p>
    <w:p>
      <w:pPr>
        <w:pStyle w:val="Heading2"/>
      </w:pPr>
      <w:r>
        <w:t xml:space="preserve">5. Build plan</w:t>
      </w:r>
    </w:p>
    <w:p>
      <w:pPr>
        <w:pStyle w:val="ListParagraph"/>
        <w:numPr>
          <w:ilvl w:val="0"/>
          <w:numId w:val="2"/>
        </w:numPr>
        <w:spacing w:after="60"/>
      </w:pPr>
      <w:r>
        <w:rPr>
          <w:color w:val="1A2230"/>
          <w:sz w:val="22"/>
          <w:szCs w:val="22"/>
        </w:rPr>
        <w:t xml:space="preserve">Phase 1 — Demo (done): full pipeline on a simulated flood feed with a live map dashboard. Built now at zero cost.</w:t>
      </w:r>
    </w:p>
    <w:p>
      <w:pPr>
        <w:pStyle w:val="ListParagraph"/>
        <w:numPr>
          <w:ilvl w:val="0"/>
          <w:numId w:val="2"/>
        </w:numPr>
        <w:spacing w:after="60"/>
      </w:pPr>
      <w:r>
        <w:rPr>
          <w:color w:val="1A2230"/>
          <w:sz w:val="22"/>
          <w:szCs w:val="22"/>
        </w:rPr>
        <w:t xml:space="preserve">Phase 2 — Pilot: connect a live social stream and a partner agency’s report intake; add language-model extraction and confidence tuning.</w:t>
      </w:r>
    </w:p>
    <w:p>
      <w:pPr>
        <w:pStyle w:val="ListParagraph"/>
        <w:numPr>
          <w:ilvl w:val="0"/>
          <w:numId w:val="2"/>
        </w:numPr>
        <w:spacing w:after="60"/>
      </w:pPr>
      <w:r>
        <w:rPr>
          <w:color w:val="1A2230"/>
          <w:sz w:val="22"/>
          <w:szCs w:val="22"/>
        </w:rPr>
        <w:t xml:space="preserve">Phase 3 — Scale: multi-incident, multi-agency, offline-resilient; hardened, hosted, with role-based access for command centres.</w:t>
      </w:r>
    </w:p>
    <w:p>
      <w:pPr>
        <w:pStyle w:val="Heading2"/>
      </w:pPr>
      <w:r>
        <w:t xml:space="preserve">6. Resources &amp; cost</w:t>
      </w:r>
    </w:p>
    <w:p>
      <w:pPr>
        <w:spacing w:after="120"/>
      </w:pPr>
      <w:r>
        <w:rPr>
          <w:b w:val="false"/>
          <w:bCs w:val="false"/>
          <w:i w:val="false"/>
          <w:iCs w:val="false"/>
          <w:color w:val="1A2230"/>
          <w:sz w:val="22"/>
          <w:szCs w:val="22"/>
        </w:rPr>
        <w:t xml:space="preserve">Free to build today, with a clear path to scale on funding. The architecture is identical at every stage — funding only swaps individual components for higher-capacity paid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D5DBE3" w:sz="2"/>
              <w:left w:val="single" w:color="D5DBE3" w:sz="2"/>
              <w:bottom w:val="single" w:color="D5DBE3" w:sz="2"/>
              <w:right w:val="single" w:color="D5DBE3" w:sz="2"/>
            </w:tcBorders>
            <w:shd w:fill="2F81F7" w:val="clear"/>
            <w:tcMar>
              <w:top w:type="dxa" w:w="70"/>
              <w:left w:type="dxa" w:w="130"/>
              <w:bottom w:type="dxa" w:w="70"/>
              <w:right w:type="dxa" w:w="130"/>
            </w:tcMar>
            <w:vAlign w:val="center"/>
          </w:tcPr>
          <w:p>
            <w:r>
              <w:rPr>
                <w:b/>
                <w:bCs/>
                <w:i w:val="false"/>
                <w:iCs w:val="false"/>
                <w:color w:val="FFFFFF"/>
                <w:sz w:val="18"/>
                <w:szCs w:val="18"/>
              </w:rPr>
              <w:t xml:space="preserve">Layer</w:t>
            </w:r>
          </w:p>
        </w:tc>
        <w:tc>
          <w:tcPr>
            <w:tcW w:type="dxa" w:w="3730"/>
            <w:tcBorders>
              <w:top w:val="single" w:color="D5DBE3" w:sz="2"/>
              <w:left w:val="single" w:color="D5DBE3" w:sz="2"/>
              <w:bottom w:val="single" w:color="D5DBE3" w:sz="2"/>
              <w:right w:val="single" w:color="D5DBE3" w:sz="2"/>
            </w:tcBorders>
            <w:shd w:fill="2F81F7" w:val="clear"/>
            <w:tcMar>
              <w:top w:type="dxa" w:w="70"/>
              <w:left w:type="dxa" w:w="130"/>
              <w:bottom w:type="dxa" w:w="70"/>
              <w:right w:type="dxa" w:w="130"/>
            </w:tcMar>
            <w:vAlign w:val="center"/>
          </w:tcPr>
          <w:p>
            <w:r>
              <w:rPr>
                <w:b/>
                <w:bCs/>
                <w:i w:val="false"/>
                <w:iCs w:val="false"/>
                <w:color w:val="FFFFFF"/>
                <w:sz w:val="18"/>
                <w:szCs w:val="18"/>
              </w:rPr>
              <w:t xml:space="preserve">Prototype (free now)</w:t>
            </w:r>
          </w:p>
        </w:tc>
        <w:tc>
          <w:tcPr>
            <w:tcW w:type="dxa" w:w="3730"/>
            <w:tcBorders>
              <w:top w:val="single" w:color="D5DBE3" w:sz="2"/>
              <w:left w:val="single" w:color="D5DBE3" w:sz="2"/>
              <w:bottom w:val="single" w:color="D5DBE3" w:sz="2"/>
              <w:right w:val="single" w:color="D5DBE3" w:sz="2"/>
            </w:tcBorders>
            <w:shd w:fill="2F81F7" w:val="clear"/>
            <w:tcMar>
              <w:top w:type="dxa" w:w="70"/>
              <w:left w:type="dxa" w:w="130"/>
              <w:bottom w:type="dxa" w:w="70"/>
              <w:right w:type="dxa" w:w="130"/>
            </w:tcMar>
            <w:vAlign w:val="center"/>
          </w:tcPr>
          <w:p>
            <w:r>
              <w:rPr>
                <w:b/>
                <w:bCs/>
                <w:i w:val="false"/>
                <w:iCs w:val="false"/>
                <w:color w:val="FFFFFF"/>
                <w:sz w:val="18"/>
                <w:szCs w:val="18"/>
              </w:rPr>
              <w:t xml:space="preserve">Funded scale-up</w:t>
            </w:r>
          </w:p>
        </w:tc>
      </w:tr>
      <w:tr>
        <w:tc>
          <w:tcPr>
            <w:tcW w:type="dxa" w:w="1900"/>
            <w:tcBorders>
              <w:top w:val="single" w:color="D5DBE3" w:sz="2"/>
              <w:left w:val="single" w:color="D5DBE3" w:sz="2"/>
              <w:bottom w:val="single" w:color="D5DBE3" w:sz="2"/>
              <w:right w:val="single" w:color="D5DBE3" w:sz="2"/>
            </w:tcBorders>
            <w:shd w:fill="FFFFFF" w:val="clear"/>
            <w:tcMar>
              <w:top w:type="dxa" w:w="70"/>
              <w:left w:type="dxa" w:w="130"/>
              <w:bottom w:type="dxa" w:w="70"/>
              <w:right w:type="dxa" w:w="130"/>
            </w:tcMar>
            <w:vAlign w:val="center"/>
          </w:tcPr>
          <w:p>
            <w:r>
              <w:rPr>
                <w:b/>
                <w:bCs/>
                <w:i w:val="false"/>
                <w:iCs w:val="false"/>
                <w:color w:val="1A2230"/>
                <w:sz w:val="18"/>
                <w:szCs w:val="18"/>
              </w:rPr>
              <w:t xml:space="preserve">Maps / GIS</w:t>
            </w:r>
          </w:p>
        </w:tc>
        <w:tc>
          <w:tcPr>
            <w:tcW w:type="dxa" w:w="3730"/>
            <w:tcBorders>
              <w:top w:val="single" w:color="D5DBE3" w:sz="2"/>
              <w:left w:val="single" w:color="D5DBE3" w:sz="2"/>
              <w:bottom w:val="single" w:color="D5DBE3" w:sz="2"/>
              <w:right w:val="single" w:color="D5DBE3" w:sz="2"/>
            </w:tcBorders>
            <w:shd w:fill="FFFFFF" w:val="clear"/>
            <w:tcMar>
              <w:top w:type="dxa" w:w="70"/>
              <w:left w:type="dxa" w:w="130"/>
              <w:bottom w:type="dxa" w:w="70"/>
              <w:right w:type="dxa" w:w="130"/>
            </w:tcMar>
            <w:vAlign w:val="center"/>
          </w:tcPr>
          <w:p>
            <w:r>
              <w:rPr>
                <w:b w:val="false"/>
                <w:bCs w:val="false"/>
                <w:i w:val="false"/>
                <w:iCs w:val="false"/>
                <w:color w:val="1F8A3B"/>
                <w:sz w:val="18"/>
                <w:szCs w:val="18"/>
              </w:rPr>
              <w:t xml:space="preserve">Leaflet + OpenStreetMap — no key, no fee</w:t>
            </w:r>
          </w:p>
        </w:tc>
        <w:tc>
          <w:tcPr>
            <w:tcW w:type="dxa" w:w="3730"/>
            <w:tcBorders>
              <w:top w:val="single" w:color="D5DBE3" w:sz="2"/>
              <w:left w:val="single" w:color="D5DBE3" w:sz="2"/>
              <w:bottom w:val="single" w:color="D5DBE3" w:sz="2"/>
              <w:right w:val="single" w:color="D5DBE3" w:sz="2"/>
            </w:tcBorders>
            <w:shd w:fill="FFFFFF" w:val="clear"/>
            <w:tcMar>
              <w:top w:type="dxa" w:w="70"/>
              <w:left w:type="dxa" w:w="130"/>
              <w:bottom w:type="dxa" w:w="70"/>
              <w:right w:type="dxa" w:w="130"/>
            </w:tcMar>
            <w:vAlign w:val="center"/>
          </w:tcPr>
          <w:p>
            <w:r>
              <w:rPr>
                <w:b w:val="false"/>
                <w:bCs w:val="false"/>
                <w:i w:val="false"/>
                <w:iCs w:val="false"/>
                <w:color w:val="1A2230"/>
                <w:sz w:val="18"/>
                <w:szCs w:val="18"/>
              </w:rPr>
              <w:t xml:space="preserve">Mapbox / Esri for high traffic</w:t>
            </w:r>
          </w:p>
        </w:tc>
      </w:tr>
      <w:tr>
        <w:tc>
          <w:tcPr>
            <w:tcW w:type="dxa" w:w="1900"/>
            <w:tcBorders>
              <w:top w:val="single" w:color="D5DBE3" w:sz="2"/>
              <w:left w:val="single" w:color="D5DBE3" w:sz="2"/>
              <w:bottom w:val="single" w:color="D5DBE3" w:sz="2"/>
              <w:right w:val="single" w:color="D5DBE3" w:sz="2"/>
            </w:tcBorders>
            <w:shd w:fill="F4F7FB" w:val="clear"/>
            <w:tcMar>
              <w:top w:type="dxa" w:w="70"/>
              <w:left w:type="dxa" w:w="130"/>
              <w:bottom w:type="dxa" w:w="70"/>
              <w:right w:type="dxa" w:w="130"/>
            </w:tcMar>
            <w:vAlign w:val="center"/>
          </w:tcPr>
          <w:p>
            <w:r>
              <w:rPr>
                <w:b/>
                <w:bCs/>
                <w:i w:val="false"/>
                <w:iCs w:val="false"/>
                <w:color w:val="1A2230"/>
                <w:sz w:val="18"/>
                <w:szCs w:val="18"/>
              </w:rPr>
              <w:t xml:space="preserve">Backend</w:t>
            </w:r>
          </w:p>
        </w:tc>
        <w:tc>
          <w:tcPr>
            <w:tcW w:type="dxa" w:w="3730"/>
            <w:tcBorders>
              <w:top w:val="single" w:color="D5DBE3" w:sz="2"/>
              <w:left w:val="single" w:color="D5DBE3" w:sz="2"/>
              <w:bottom w:val="single" w:color="D5DBE3" w:sz="2"/>
              <w:right w:val="single" w:color="D5DBE3" w:sz="2"/>
            </w:tcBorders>
            <w:shd w:fill="F4F7FB" w:val="clear"/>
            <w:tcMar>
              <w:top w:type="dxa" w:w="70"/>
              <w:left w:type="dxa" w:w="130"/>
              <w:bottom w:type="dxa" w:w="70"/>
              <w:right w:type="dxa" w:w="130"/>
            </w:tcMar>
            <w:vAlign w:val="center"/>
          </w:tcPr>
          <w:p>
            <w:r>
              <w:rPr>
                <w:b w:val="false"/>
                <w:bCs w:val="false"/>
                <w:i w:val="false"/>
                <w:iCs w:val="false"/>
                <w:color w:val="1F8A3B"/>
                <w:sz w:val="18"/>
                <w:szCs w:val="18"/>
              </w:rPr>
              <w:t xml:space="preserve">Python standard library — zero install</w:t>
            </w:r>
          </w:p>
        </w:tc>
        <w:tc>
          <w:tcPr>
            <w:tcW w:type="dxa" w:w="3730"/>
            <w:tcBorders>
              <w:top w:val="single" w:color="D5DBE3" w:sz="2"/>
              <w:left w:val="single" w:color="D5DBE3" w:sz="2"/>
              <w:bottom w:val="single" w:color="D5DBE3" w:sz="2"/>
              <w:right w:val="single" w:color="D5DBE3" w:sz="2"/>
            </w:tcBorders>
            <w:shd w:fill="F4F7FB" w:val="clear"/>
            <w:tcMar>
              <w:top w:type="dxa" w:w="70"/>
              <w:left w:type="dxa" w:w="130"/>
              <w:bottom w:type="dxa" w:w="70"/>
              <w:right w:type="dxa" w:w="130"/>
            </w:tcMar>
            <w:vAlign w:val="center"/>
          </w:tcPr>
          <w:p>
            <w:r>
              <w:rPr>
                <w:b w:val="false"/>
                <w:bCs w:val="false"/>
                <w:i w:val="false"/>
                <w:iCs w:val="false"/>
                <w:color w:val="1A2230"/>
                <w:sz w:val="18"/>
                <w:szCs w:val="18"/>
              </w:rPr>
              <w:t xml:space="preserve">FastAPI on AWS / GCP, autoscaling</w:t>
            </w:r>
          </w:p>
        </w:tc>
      </w:tr>
      <w:tr>
        <w:tc>
          <w:tcPr>
            <w:tcW w:type="dxa" w:w="1900"/>
            <w:tcBorders>
              <w:top w:val="single" w:color="D5DBE3" w:sz="2"/>
              <w:left w:val="single" w:color="D5DBE3" w:sz="2"/>
              <w:bottom w:val="single" w:color="D5DBE3" w:sz="2"/>
              <w:right w:val="single" w:color="D5DBE3" w:sz="2"/>
            </w:tcBorders>
            <w:shd w:fill="FFFFFF" w:val="clear"/>
            <w:tcMar>
              <w:top w:type="dxa" w:w="70"/>
              <w:left w:type="dxa" w:w="130"/>
              <w:bottom w:type="dxa" w:w="70"/>
              <w:right w:type="dxa" w:w="130"/>
            </w:tcMar>
            <w:vAlign w:val="center"/>
          </w:tcPr>
          <w:p>
            <w:r>
              <w:rPr>
                <w:b/>
                <w:bCs/>
                <w:i w:val="false"/>
                <w:iCs w:val="false"/>
                <w:color w:val="1A2230"/>
                <w:sz w:val="18"/>
                <w:szCs w:val="18"/>
              </w:rPr>
              <w:t xml:space="preserve">NLP / triage</w:t>
            </w:r>
          </w:p>
        </w:tc>
        <w:tc>
          <w:tcPr>
            <w:tcW w:type="dxa" w:w="3730"/>
            <w:tcBorders>
              <w:top w:val="single" w:color="D5DBE3" w:sz="2"/>
              <w:left w:val="single" w:color="D5DBE3" w:sz="2"/>
              <w:bottom w:val="single" w:color="D5DBE3" w:sz="2"/>
              <w:right w:val="single" w:color="D5DBE3" w:sz="2"/>
            </w:tcBorders>
            <w:shd w:fill="FFFFFF" w:val="clear"/>
            <w:tcMar>
              <w:top w:type="dxa" w:w="70"/>
              <w:left w:type="dxa" w:w="130"/>
              <w:bottom w:type="dxa" w:w="70"/>
              <w:right w:type="dxa" w:w="130"/>
            </w:tcMar>
            <w:vAlign w:val="center"/>
          </w:tcPr>
          <w:p>
            <w:r>
              <w:rPr>
                <w:b w:val="false"/>
                <w:bCs w:val="false"/>
                <w:i w:val="false"/>
                <w:iCs w:val="false"/>
                <w:color w:val="1F8A3B"/>
                <w:sz w:val="18"/>
                <w:szCs w:val="18"/>
              </w:rPr>
              <w:t xml:space="preserve">Rule-based keyword + geo matching</w:t>
            </w:r>
          </w:p>
        </w:tc>
        <w:tc>
          <w:tcPr>
            <w:tcW w:type="dxa" w:w="3730"/>
            <w:tcBorders>
              <w:top w:val="single" w:color="D5DBE3" w:sz="2"/>
              <w:left w:val="single" w:color="D5DBE3" w:sz="2"/>
              <w:bottom w:val="single" w:color="D5DBE3" w:sz="2"/>
              <w:right w:val="single" w:color="D5DBE3" w:sz="2"/>
            </w:tcBorders>
            <w:shd w:fill="FFFFFF" w:val="clear"/>
            <w:tcMar>
              <w:top w:type="dxa" w:w="70"/>
              <w:left w:type="dxa" w:w="130"/>
              <w:bottom w:type="dxa" w:w="70"/>
              <w:right w:type="dxa" w:w="130"/>
            </w:tcMar>
            <w:vAlign w:val="center"/>
          </w:tcPr>
          <w:p>
            <w:r>
              <w:rPr>
                <w:b w:val="false"/>
                <w:bCs w:val="false"/>
                <w:i w:val="false"/>
                <w:iCs w:val="false"/>
                <w:color w:val="1A2230"/>
                <w:sz w:val="18"/>
                <w:szCs w:val="18"/>
              </w:rPr>
              <w:t xml:space="preserve">Claude / GPT API for richer extraction</w:t>
            </w:r>
          </w:p>
        </w:tc>
      </w:tr>
      <w:tr>
        <w:tc>
          <w:tcPr>
            <w:tcW w:type="dxa" w:w="1900"/>
            <w:tcBorders>
              <w:top w:val="single" w:color="D5DBE3" w:sz="2"/>
              <w:left w:val="single" w:color="D5DBE3" w:sz="2"/>
              <w:bottom w:val="single" w:color="D5DBE3" w:sz="2"/>
              <w:right w:val="single" w:color="D5DBE3" w:sz="2"/>
            </w:tcBorders>
            <w:shd w:fill="F4F7FB" w:val="clear"/>
            <w:tcMar>
              <w:top w:type="dxa" w:w="70"/>
              <w:left w:type="dxa" w:w="130"/>
              <w:bottom w:type="dxa" w:w="70"/>
              <w:right w:type="dxa" w:w="130"/>
            </w:tcMar>
            <w:vAlign w:val="center"/>
          </w:tcPr>
          <w:p>
            <w:r>
              <w:rPr>
                <w:b/>
                <w:bCs/>
                <w:i w:val="false"/>
                <w:iCs w:val="false"/>
                <w:color w:val="1A2230"/>
                <w:sz w:val="18"/>
                <w:szCs w:val="18"/>
              </w:rPr>
              <w:t xml:space="preserve">Geocoding</w:t>
            </w:r>
          </w:p>
        </w:tc>
        <w:tc>
          <w:tcPr>
            <w:tcW w:type="dxa" w:w="3730"/>
            <w:tcBorders>
              <w:top w:val="single" w:color="D5DBE3" w:sz="2"/>
              <w:left w:val="single" w:color="D5DBE3" w:sz="2"/>
              <w:bottom w:val="single" w:color="D5DBE3" w:sz="2"/>
              <w:right w:val="single" w:color="D5DBE3" w:sz="2"/>
            </w:tcBorders>
            <w:shd w:fill="F4F7FB" w:val="clear"/>
            <w:tcMar>
              <w:top w:type="dxa" w:w="70"/>
              <w:left w:type="dxa" w:w="130"/>
              <w:bottom w:type="dxa" w:w="70"/>
              <w:right w:type="dxa" w:w="130"/>
            </w:tcMar>
            <w:vAlign w:val="center"/>
          </w:tcPr>
          <w:p>
            <w:r>
              <w:rPr>
                <w:b w:val="false"/>
                <w:bCs w:val="false"/>
                <w:i w:val="false"/>
                <w:iCs w:val="false"/>
                <w:color w:val="1F8A3B"/>
                <w:sz w:val="18"/>
                <w:szCs w:val="18"/>
              </w:rPr>
              <w:t xml:space="preserve">Nominatim (free) / pre-tagged coords</w:t>
            </w:r>
          </w:p>
        </w:tc>
        <w:tc>
          <w:tcPr>
            <w:tcW w:type="dxa" w:w="3730"/>
            <w:tcBorders>
              <w:top w:val="single" w:color="D5DBE3" w:sz="2"/>
              <w:left w:val="single" w:color="D5DBE3" w:sz="2"/>
              <w:bottom w:val="single" w:color="D5DBE3" w:sz="2"/>
              <w:right w:val="single" w:color="D5DBE3" w:sz="2"/>
            </w:tcBorders>
            <w:shd w:fill="F4F7FB" w:val="clear"/>
            <w:tcMar>
              <w:top w:type="dxa" w:w="70"/>
              <w:left w:type="dxa" w:w="130"/>
              <w:bottom w:type="dxa" w:w="70"/>
              <w:right w:type="dxa" w:w="130"/>
            </w:tcMar>
            <w:vAlign w:val="center"/>
          </w:tcPr>
          <w:p>
            <w:r>
              <w:rPr>
                <w:b w:val="false"/>
                <w:bCs w:val="false"/>
                <w:i w:val="false"/>
                <w:iCs w:val="false"/>
                <w:color w:val="1A2230"/>
                <w:sz w:val="18"/>
                <w:szCs w:val="18"/>
              </w:rPr>
              <w:t xml:space="preserve">Paid geocoder for volume + SLA</w:t>
            </w:r>
          </w:p>
        </w:tc>
      </w:tr>
      <w:tr>
        <w:tc>
          <w:tcPr>
            <w:tcW w:type="dxa" w:w="1900"/>
            <w:tcBorders>
              <w:top w:val="single" w:color="D5DBE3" w:sz="2"/>
              <w:left w:val="single" w:color="D5DBE3" w:sz="2"/>
              <w:bottom w:val="single" w:color="D5DBE3" w:sz="2"/>
              <w:right w:val="single" w:color="D5DBE3" w:sz="2"/>
            </w:tcBorders>
            <w:shd w:fill="FFFFFF" w:val="clear"/>
            <w:tcMar>
              <w:top w:type="dxa" w:w="70"/>
              <w:left w:type="dxa" w:w="130"/>
              <w:bottom w:type="dxa" w:w="70"/>
              <w:right w:type="dxa" w:w="130"/>
            </w:tcMar>
            <w:vAlign w:val="center"/>
          </w:tcPr>
          <w:p>
            <w:r>
              <w:rPr>
                <w:b/>
                <w:bCs/>
                <w:i w:val="false"/>
                <w:iCs w:val="false"/>
                <w:color w:val="1A2230"/>
                <w:sz w:val="18"/>
                <w:szCs w:val="18"/>
              </w:rPr>
              <w:t xml:space="preserve">Data feeds</w:t>
            </w:r>
          </w:p>
        </w:tc>
        <w:tc>
          <w:tcPr>
            <w:tcW w:type="dxa" w:w="3730"/>
            <w:tcBorders>
              <w:top w:val="single" w:color="D5DBE3" w:sz="2"/>
              <w:left w:val="single" w:color="D5DBE3" w:sz="2"/>
              <w:bottom w:val="single" w:color="D5DBE3" w:sz="2"/>
              <w:right w:val="single" w:color="D5DBE3" w:sz="2"/>
            </w:tcBorders>
            <w:shd w:fill="FFFFFF" w:val="clear"/>
            <w:tcMar>
              <w:top w:type="dxa" w:w="70"/>
              <w:left w:type="dxa" w:w="130"/>
              <w:bottom w:type="dxa" w:w="70"/>
              <w:right w:type="dxa" w:w="130"/>
            </w:tcMar>
            <w:vAlign w:val="center"/>
          </w:tcPr>
          <w:p>
            <w:r>
              <w:rPr>
                <w:b w:val="false"/>
                <w:bCs w:val="false"/>
                <w:i w:val="false"/>
                <w:iCs w:val="false"/>
                <w:color w:val="1F8A3B"/>
                <w:sz w:val="18"/>
                <w:szCs w:val="18"/>
              </w:rPr>
              <w:t xml:space="preserve">Simulated multi-channel crisis stream</w:t>
            </w:r>
          </w:p>
        </w:tc>
        <w:tc>
          <w:tcPr>
            <w:tcW w:type="dxa" w:w="3730"/>
            <w:tcBorders>
              <w:top w:val="single" w:color="D5DBE3" w:sz="2"/>
              <w:left w:val="single" w:color="D5DBE3" w:sz="2"/>
              <w:bottom w:val="single" w:color="D5DBE3" w:sz="2"/>
              <w:right w:val="single" w:color="D5DBE3" w:sz="2"/>
            </w:tcBorders>
            <w:shd w:fill="FFFFFF" w:val="clear"/>
            <w:tcMar>
              <w:top w:type="dxa" w:w="70"/>
              <w:left w:type="dxa" w:w="130"/>
              <w:bottom w:type="dxa" w:w="70"/>
              <w:right w:type="dxa" w:w="130"/>
            </w:tcMar>
            <w:vAlign w:val="center"/>
          </w:tcPr>
          <w:p>
            <w:r>
              <w:rPr>
                <w:b w:val="false"/>
                <w:bCs w:val="false"/>
                <w:i w:val="false"/>
                <w:iCs w:val="false"/>
                <w:color w:val="1A2230"/>
                <w:sz w:val="18"/>
                <w:szCs w:val="18"/>
              </w:rPr>
              <w:t xml:space="preserve">Live 112 / control-room CAD, social, sensors</w:t>
            </w:r>
          </w:p>
        </w:tc>
      </w:tr>
      <w:tr>
        <w:tc>
          <w:tcPr>
            <w:tcW w:type="dxa" w:w="1900"/>
            <w:tcBorders>
              <w:top w:val="single" w:color="D5DBE3" w:sz="2"/>
              <w:left w:val="single" w:color="D5DBE3" w:sz="2"/>
              <w:bottom w:val="single" w:color="D5DBE3" w:sz="2"/>
              <w:right w:val="single" w:color="D5DBE3" w:sz="2"/>
            </w:tcBorders>
            <w:shd w:fill="F4F7FB" w:val="clear"/>
            <w:tcMar>
              <w:top w:type="dxa" w:w="70"/>
              <w:left w:type="dxa" w:w="130"/>
              <w:bottom w:type="dxa" w:w="70"/>
              <w:right w:type="dxa" w:w="130"/>
            </w:tcMar>
            <w:vAlign w:val="center"/>
          </w:tcPr>
          <w:p>
            <w:r>
              <w:rPr>
                <w:b/>
                <w:bCs/>
                <w:i w:val="false"/>
                <w:iCs w:val="false"/>
                <w:color w:val="1A2230"/>
                <w:sz w:val="18"/>
                <w:szCs w:val="18"/>
              </w:rPr>
              <w:t xml:space="preserve">Hosting</w:t>
            </w:r>
          </w:p>
        </w:tc>
        <w:tc>
          <w:tcPr>
            <w:tcW w:type="dxa" w:w="3730"/>
            <w:tcBorders>
              <w:top w:val="single" w:color="D5DBE3" w:sz="2"/>
              <w:left w:val="single" w:color="D5DBE3" w:sz="2"/>
              <w:bottom w:val="single" w:color="D5DBE3" w:sz="2"/>
              <w:right w:val="single" w:color="D5DBE3" w:sz="2"/>
            </w:tcBorders>
            <w:shd w:fill="F4F7FB" w:val="clear"/>
            <w:tcMar>
              <w:top w:type="dxa" w:w="70"/>
              <w:left w:type="dxa" w:w="130"/>
              <w:bottom w:type="dxa" w:w="70"/>
              <w:right w:type="dxa" w:w="130"/>
            </w:tcMar>
            <w:vAlign w:val="center"/>
          </w:tcPr>
          <w:p>
            <w:r>
              <w:rPr>
                <w:b w:val="false"/>
                <w:bCs w:val="false"/>
                <w:i w:val="false"/>
                <w:iCs w:val="false"/>
                <w:color w:val="1F8A3B"/>
                <w:sz w:val="18"/>
                <w:szCs w:val="18"/>
              </w:rPr>
              <w:t xml:space="preserve">Runs on a laptop / free tier</w:t>
            </w:r>
          </w:p>
        </w:tc>
        <w:tc>
          <w:tcPr>
            <w:tcW w:type="dxa" w:w="3730"/>
            <w:tcBorders>
              <w:top w:val="single" w:color="D5DBE3" w:sz="2"/>
              <w:left w:val="single" w:color="D5DBE3" w:sz="2"/>
              <w:bottom w:val="single" w:color="D5DBE3" w:sz="2"/>
              <w:right w:val="single" w:color="D5DBE3" w:sz="2"/>
            </w:tcBorders>
            <w:shd w:fill="F4F7FB" w:val="clear"/>
            <w:tcMar>
              <w:top w:type="dxa" w:w="70"/>
              <w:left w:type="dxa" w:w="130"/>
              <w:bottom w:type="dxa" w:w="70"/>
              <w:right w:type="dxa" w:w="130"/>
            </w:tcMar>
            <w:vAlign w:val="center"/>
          </w:tcPr>
          <w:p>
            <w:r>
              <w:rPr>
                <w:b w:val="false"/>
                <w:bCs w:val="false"/>
                <w:i w:val="false"/>
                <w:iCs w:val="false"/>
                <w:color w:val="1A2230"/>
                <w:sz w:val="18"/>
                <w:szCs w:val="18"/>
              </w:rPr>
              <w:t xml:space="preserve">Cloud + redundancy + offline mesh</w:t>
            </w:r>
          </w:p>
        </w:tc>
      </w:tr>
    </w:tbl>
    <w:p>
      <w:pPr>
        <w:spacing w:before="100"/>
      </w:pPr>
      <w:r>
        <w:rPr>
          <w:color w:val="1A2230"/>
          <w:sz w:val="20"/>
          <w:szCs w:val="20"/>
        </w:rPr>
        <w:t xml:space="preserve">Total cost to demo: </w:t>
      </w:r>
      <w:r>
        <w:rPr>
          <w:b/>
          <w:bCs/>
          <w:color w:val="1F8A3B"/>
          <w:sz w:val="20"/>
          <w:szCs w:val="20"/>
        </w:rPr>
        <w:t xml:space="preserve">$0.</w:t>
      </w:r>
    </w:p>
    <w:p>
      <w:pPr>
        <w:pStyle w:val="Heading2"/>
      </w:pPr>
      <w:r>
        <w:t xml:space="preserve">7. Why it fits the challenge</w:t>
      </w:r>
    </w:p>
    <w:p>
      <w:pPr>
        <w:pStyle w:val="ListParagraph"/>
        <w:numPr>
          <w:ilvl w:val="0"/>
          <w:numId w:val="2"/>
        </w:numPr>
        <w:spacing w:after="60"/>
      </w:pPr>
      <w:r>
        <w:rPr>
          <w:color w:val="1A2230"/>
          <w:sz w:val="22"/>
          <w:szCs w:val="22"/>
        </w:rPr>
        <w:t xml:space="preserve">Directly answers the brief: identify, organise, and visualise emergency information in near real-time.</w:t>
      </w:r>
    </w:p>
    <w:p>
      <w:pPr>
        <w:pStyle w:val="ListParagraph"/>
        <w:numPr>
          <w:ilvl w:val="0"/>
          <w:numId w:val="2"/>
        </w:numPr>
        <w:spacing w:after="60"/>
      </w:pPr>
      <w:r>
        <w:rPr>
          <w:color w:val="1A2230"/>
          <w:sz w:val="22"/>
          <w:szCs w:val="22"/>
        </w:rPr>
        <w:t xml:space="preserve">Genuinely cross-disciplinary — data science, GIS, NLP and emergency management in one tool.</w:t>
      </w:r>
    </w:p>
    <w:p>
      <w:pPr>
        <w:pStyle w:val="ListParagraph"/>
        <w:numPr>
          <w:ilvl w:val="0"/>
          <w:numId w:val="2"/>
        </w:numPr>
        <w:spacing w:after="60"/>
      </w:pPr>
      <w:r>
        <w:rPr>
          <w:color w:val="1A2230"/>
          <w:sz w:val="22"/>
          <w:szCs w:val="22"/>
        </w:rPr>
        <w:t xml:space="preserve">Demoable: a judge sees a real, working dashboard, not just slides.</w:t>
      </w:r>
    </w:p>
    <w:p>
      <w:pPr>
        <w:pStyle w:val="ListParagraph"/>
        <w:numPr>
          <w:ilvl w:val="0"/>
          <w:numId w:val="2"/>
        </w:numPr>
        <w:spacing w:after="60"/>
      </w:pPr>
      <w:r>
        <w:rPr>
          <w:color w:val="1A2230"/>
          <w:sz w:val="22"/>
          <w:szCs w:val="22"/>
        </w:rPr>
        <w:t xml:space="preserve">Responder-first: built around trust, source traceability, and human control.</w:t>
      </w:r>
    </w:p>
    <w:p>
      <w:pPr>
        <w:pStyle w:val="ListParagraph"/>
        <w:numPr>
          <w:ilvl w:val="0"/>
          <w:numId w:val="2"/>
        </w:numPr>
        <w:spacing w:after="60"/>
      </w:pPr>
      <w:r>
        <w:rPr>
          <w:color w:val="1A2230"/>
          <w:sz w:val="22"/>
          <w:szCs w:val="22"/>
        </w:rPr>
        <w:t xml:space="preserve">Credible scaling story for funding without re-architecting.</w:t>
      </w:r>
    </w:p>
    <w:p>
      <w:pPr>
        <w:pBdr>
          <w:top w:val="single" w:color="D5DBE3" w:sz="4" w:space="6"/>
        </w:pBdr>
        <w:spacing w:before="260"/>
      </w:pPr>
      <w:r>
        <w:rPr>
          <w:i/>
          <w:iCs/>
          <w:color w:val="5B6675"/>
          <w:sz w:val="18"/>
          <w:szCs w:val="18"/>
        </w:rPr>
        <w:t xml:space="preserve">Submission deadline: 29 May 2026 · entry must be led by an IEEE member. This document is accompanied by a runnable prototype (Python + Leaflet).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3" w:sz="4" w:space="6"/>
      </w:pBdr>
      <w:tabs>
        <w:tab w:val="right" w:pos="9360"/>
      </w:tabs>
    </w:pPr>
    <w:r>
      <w:rPr>
        <w:color w:val="5B6675"/>
        <w:sz w:val="16"/>
        <w:szCs w:val="16"/>
      </w:rPr>
      <w:t xml:space="preserve">ResQView · IEEE Response Quest™ Challenge 2026</w:t>
    </w:r>
    <w:r>
      <w:rPr>
        <w:color w:val="5B6675"/>
        <w:sz w:val="16"/>
        <w:szCs w:val="16"/>
      </w:rPr>
      <w:t xml:space="preserve">	Page </w:t>
    </w:r>
    <w:r>
      <w:rPr>
        <w:color w:val="5B66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2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2230"/>
      <w:sz w:val="34"/>
      <w:szCs w:val="34"/>
    </w:rPr>
  </w:style>
  <w:style w:type="paragraph" w:styleId="Heading2">
    <w:name w:val="Heading 2"/>
    <w:basedOn w:val="Normal"/>
    <w:next w:val="Normal"/>
    <w:qFormat/>
    <w:pPr>
      <w:pBdr>
        <w:bottom w:val="single" w:color="D5DBE3" w:sz="6" w:space="4"/>
      </w:pBdr>
      <w:spacing w:after="100" w:before="220"/>
      <w:outlineLvl w:val="1"/>
    </w:pPr>
    <w:rPr>
      <w:rFonts w:ascii="Arial" w:cs="Arial" w:eastAsia="Arial" w:hAnsi="Arial"/>
      <w:b/>
      <w:bCs/>
      <w:color w:val="2F81F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ResQView — IEEE Response Quest Proposal</dc:title>
  <dc:creator>ResQView Team</dc:creator>
  <cp:lastModifiedBy>Un-named</cp:lastModifiedBy>
  <cp:revision>1</cp:revision>
  <dcterms:created xsi:type="dcterms:W3CDTF">2026-05-21T16:50:03.251Z</dcterms:created>
  <dcterms:modified xsi:type="dcterms:W3CDTF">2026-05-21T16:50:03.252Z</dcterms:modified>
</cp:coreProperties>
</file>

<file path=docProps/custom.xml><?xml version="1.0" encoding="utf-8"?>
<Properties xmlns="http://schemas.openxmlformats.org/officeDocument/2006/custom-properties" xmlns:vt="http://schemas.openxmlformats.org/officeDocument/2006/docPropsVTypes"/>
</file>