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z w:val="34"/>
          <w:szCs w:val="34"/>
        </w:rPr>
        <w:t xml:space="preserve">ISO/IEC 27001:2022 GAP ASSESSMENT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Executive Summary Report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Client (fictional):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Meridian Analytics Ltd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Scope: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SaaS analytics platform, corporate IT, and supporting business processes (UK head office and remote workforce)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Assessment date: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1 September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Assessor: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Sanika Mahamulkar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Framework: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ISO/IEC 27001:2022, Annex A (93 controls)</w:t>
      </w:r>
    </w:p>
    <w:p>
      <w:pPr>
        <w:pStyle w:val="Heading1"/>
        <w:pBdr>
          <w:bottom w:val="single" w:color="1F2A4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1. Purpose and Context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Meridian Analytics Ltd currently holds ISO/IEC 27001:2013 certification. This gap assessment was performed ahead of the organisation's transition audit to the 2022 revision of the standard, which restructured Annex A from 114 controls across 14 domains into 93 controls across four themes (Organizational, People, Physical, and Technological), and introduced a number of new or substantially expanded control requirements.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objective of this assessment is to identify, for each of the 93 Annex A controls, the organisation's current implementation maturity, any evidence gaps, and a prioritised, owned remediation roadmap - so that findings can be closed in a planned way ahead of the Stage 2 transition audit, rather than being discovered by the certification auditor.</w:t>
      </w:r>
    </w:p>
    <w:p>
      <w:pPr>
        <w:pStyle w:val="Heading1"/>
        <w:pBdr>
          <w:bottom w:val="single" w:color="1F2A4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2. Methodology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of the 93 Annex A controls was rated against a five-point maturity scale, ranging from Not Implemented (0) to Implemented - Reviewed &amp; Effective (4). Ratings were based on a review of existing policy documentation, process walkthroughs, and technical configuration evidence where applicable. Each control was assigned an owner (the role accountable for closing any identified gap) and, where a gap was identified, a priority rating (High/Medium/Low) with a corresponding target remediation date.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Full findings, evidence notes, and the complete control-by-control matrix are provided in the accompanying workbook, ISO27001_2022_Gap_Assessment.xlsx (Gap Assessment Matrix tab).</w:t>
      </w:r>
    </w:p>
    <w:p>
      <w:pPr>
        <w:pStyle w:val="Heading1"/>
        <w:pBdr>
          <w:bottom w:val="single" w:color="1F2A4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3. Summary of Results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Total Annex A controls assessed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93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Findings requiring action (High + Medium)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 (18% of controls)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 priority findings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 priority findings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Controls at maturity 3 or 4 (operating/reviewed)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81.7%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Overall average maturity score (0-4 scale)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3.31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Overall, Meridian Analytics' existing ISMS is well-established: 81.7% of controls are already operating at an acceptable maturity level (implemented and either reviewed or awaiting formal review). The remaining gaps are concentrated in two areas: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Controls introduced or substantially expanded by the ISO/IEC 27001:2022 revision (e.g. threat intelligence, configuration management, data leakage prevention, monitoring activities), which had not yet been built out under the organisation's 2013-based ISMS.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small number of pre-existing controls where a policy or process exists in principle but is not yet consistently or technically enforced (e.g. remote working, vulnerability remediation SLAs).</w:t>
      </w:r>
    </w:p>
    <w:p>
      <w:pPr>
        <w:pStyle w:val="Heading1"/>
        <w:pBdr>
          <w:bottom w:val="single" w:color="1F2A4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4. Key Findings Requiring Action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17 of the 93 assessed controls (18%) were rated below an acceptable maturity threshold and require remediation ahead of the transition audit: 8 rated High priority (Not Implemented) and 9 rated Medium priority (Partially Implemented). The full list, with owners and target dates, is below and is also maintained as a living tracker in the Remediation Roadmap tab of the accompanying workbook.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 Name</w:t>
            </w:r>
          </w:p>
        </w:tc>
        <w:tc>
          <w:tcPr>
            <w:tcW w:type="dxa" w:w="1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Maturity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Threat intelligence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 Oct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5.21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ICT supply chain security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 Oct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5.28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Collection of evidence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 Oct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5.30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ICT readiness for business continuity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 Oct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Configuration management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 Oct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8.11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 masking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 Oct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8.12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 leakage prevention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 Oct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8.16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Monitoring activities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 Oct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5.23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Cloud services security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5.35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Independent review of information security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6.7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Remote working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7.4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Physical security monitoring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7.9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Security of assets off-premises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Management of technical vulnerabilities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8.10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Information deletion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8.23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Web filtering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8.28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Secure coding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Dec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2A4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5. Highest-Priority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Stand up a centralised security monitoring capability (8.16) and formal configuration baseline standard (8.9) - these underpin several other technical controls and should be prioritised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Establish a documented ICT supply chain risk assessment process (5.21), distinct from general supplier due diligence, given the organisation's reliance on third-party cloud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Formalise the incident evidence collection procedure (5.28) and align ICT continuity planning to BIA-derived recovery objectives (5.30) - both are foundational to effective incident response and are currently undocumented.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Introduce data leakage prevention tooling (8.12) and data masking for non-production environments (8.11), given the sensitivity of the customer analytics data the platform processes.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Technically enforce the existing remote working policy (6.7) and formalise a vulnerability remediation SLA (8.8), since both currently rely on policy intent rather than enforced or measured practice.</w:t>
      </w:r>
    </w:p>
    <w:p>
      <w:pPr>
        <w:pStyle w:val="Heading1"/>
        <w:pBdr>
          <w:bottom w:val="single" w:color="1F2A4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6. 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Circulate this report and the accompanying workbook to control owners for validation of findings and target 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Track remediation progress via the Remediation Roadmap tab (Status column) at a fortnightly GRC/security review cadence.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Re-assess all 17 flagged controls no later than 2 weeks before the scheduled Stage 2 transition audit, to confirm evidence is in place.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Schedule the next full Annex A gap assessment for 12 months from this assessment date, consistent with the organisation's annual ISMS review cycle.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Note: this report and its accompanying workbook model a real ISO/IEC 27001:2022 Annex A gap assessment methodology against a fictional company, produced as a self-directed portfolio project. All findings, ratings, and dates are illustrative.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2026-09-24T16:19:36.267Z</dcterms:created>
  <dcterms:modified xsi:type="dcterms:W3CDTF">2026-09-24T16:19:36.275Z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